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A58"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18C2BF56" w14:textId="77777777" w:rsidR="003D7165" w:rsidRDefault="003D7165">
      <w:pPr>
        <w:autoSpaceDE w:val="0"/>
        <w:autoSpaceDN w:val="0"/>
        <w:adjustRightInd w:val="0"/>
        <w:jc w:val="both"/>
        <w:rPr>
          <w:rFonts w:ascii="Arial" w:hAnsi="Arial" w:cs="Arial"/>
          <w:noProof w:val="0"/>
          <w:sz w:val="22"/>
          <w:szCs w:val="22"/>
          <w:lang w:eastAsia="en-GB"/>
        </w:rPr>
      </w:pPr>
    </w:p>
    <w:p w14:paraId="02331705"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w:t>
      </w:r>
      <w:proofErr w:type="gramStart"/>
      <w:r>
        <w:rPr>
          <w:rFonts w:ascii="Arial" w:hAnsi="Arial" w:cs="Arial"/>
          <w:noProof w:val="0"/>
          <w:sz w:val="22"/>
          <w:szCs w:val="22"/>
          <w:lang w:eastAsia="en-GB"/>
        </w:rPr>
        <w:t>is located in</w:t>
      </w:r>
      <w:proofErr w:type="gramEnd"/>
      <w:r>
        <w:rPr>
          <w:rFonts w:ascii="Arial" w:hAnsi="Arial" w:cs="Arial"/>
          <w:noProof w:val="0"/>
          <w:sz w:val="22"/>
          <w:szCs w:val="22"/>
          <w:lang w:eastAsia="en-GB"/>
        </w:rPr>
        <w:t xml:space="preserve"> Stevenage, a town and borough in Hertfordshire, England, situated on the A1 between Letchworth Garden City to the north and Welwyn Garden City to the south.  Just 20 minutes from London via train, a </w:t>
      </w:r>
      <w:proofErr w:type="gramStart"/>
      <w:r>
        <w:rPr>
          <w:rFonts w:ascii="Arial" w:hAnsi="Arial" w:cs="Arial"/>
          <w:noProof w:val="0"/>
          <w:sz w:val="22"/>
          <w:szCs w:val="22"/>
          <w:lang w:eastAsia="en-GB"/>
        </w:rPr>
        <w:t>40 minute</w:t>
      </w:r>
      <w:proofErr w:type="gramEnd"/>
      <w:r>
        <w:rPr>
          <w:rFonts w:ascii="Arial" w:hAnsi="Arial" w:cs="Arial"/>
          <w:noProof w:val="0"/>
          <w:sz w:val="22"/>
          <w:szCs w:val="22"/>
          <w:lang w:eastAsia="en-GB"/>
        </w:rPr>
        <w:t xml:space="preserve"> drive from Cambridge with nearby airports just 20 minutes away (Luton) and 40 minutes away (Stansted), Stevenage has excellent transport links to London and the rest of the country. Stevenage Old Town has a village feel with historic buildings, cafes, coffee shops, restaurants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D06C6F2" w14:textId="77777777" w:rsidR="003D7165" w:rsidRDefault="003D7165">
      <w:pPr>
        <w:keepLines/>
        <w:ind w:left="1134" w:right="1134"/>
        <w:rPr>
          <w:rFonts w:ascii="Arial" w:hAnsi="Arial" w:cs="Arial"/>
          <w:snapToGrid w:val="0"/>
          <w:color w:val="000000"/>
          <w:sz w:val="22"/>
          <w:szCs w:val="22"/>
        </w:rPr>
      </w:pPr>
    </w:p>
    <w:p w14:paraId="080B3199" w14:textId="77777777" w:rsidR="003D7165" w:rsidRDefault="00E72D6C">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40BB62C6" wp14:editId="6FC918B9">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307A728E" w14:textId="77777777" w:rsidR="003D7165" w:rsidRDefault="003D7165">
      <w:pPr>
        <w:keepLines/>
        <w:ind w:left="1134" w:right="1134"/>
        <w:jc w:val="center"/>
        <w:rPr>
          <w:rFonts w:ascii="Arial" w:hAnsi="Arial" w:cs="Arial"/>
          <w:snapToGrid w:val="0"/>
          <w:color w:val="000000"/>
          <w:sz w:val="22"/>
          <w:szCs w:val="22"/>
        </w:rPr>
      </w:pPr>
    </w:p>
    <w:p w14:paraId="64897F5C" w14:textId="77777777" w:rsidR="003D7165" w:rsidRDefault="003D7165">
      <w:pPr>
        <w:keepLines/>
        <w:ind w:right="1134"/>
        <w:rPr>
          <w:rFonts w:ascii="Arial" w:hAnsi="Arial" w:cs="Arial"/>
          <w:snapToGrid w:val="0"/>
          <w:color w:val="000000"/>
          <w:sz w:val="22"/>
          <w:szCs w:val="22"/>
        </w:rPr>
      </w:pPr>
    </w:p>
    <w:p w14:paraId="09E7DB18"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1ECCE610"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provide a comprehensive induction programme for all colleagues joining our school and all our new teaching staff are paired with a buddy to support them.</w:t>
      </w:r>
    </w:p>
    <w:p w14:paraId="35A2AC1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On-going in-house professional development is an expectation for all via our core CPD days; weekly after school development time, middle leader training; and open door policy practiced by both our Senior Leadership Team and our Directors of Faculty, all of which support the aims of our school improvement plan and encourage colleagues to develop their careers with opportunities provided for staff to advance within school, as well as offering support for those who may wish to find promotion elsewhere.</w:t>
      </w:r>
    </w:p>
    <w:p w14:paraId="3CB08B4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excellent links with other schools in the area, plus robust networking and CPD opportunities.</w:t>
      </w:r>
    </w:p>
    <w:p w14:paraId="5BDC00FA"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221E5D0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all our staff are entitled to an annual professional appraisal review, with strong performance evaluation systems and linked pay progression.</w:t>
      </w:r>
    </w:p>
    <w:p w14:paraId="01E37FBB"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wellbeing</w:t>
      </w:r>
    </w:p>
    <w:p w14:paraId="0FA7E68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Staff Wellbeing Charter.</w:t>
      </w:r>
    </w:p>
    <w:p w14:paraId="3743885C"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34D30E8F"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have superb sports facilities that include a large sports hall, a gymnasium, a dance studio, AstroTurf, a climbing wall, a multi-use games areas and the trim trail. In addition to these facilities, </w:t>
      </w:r>
      <w:r>
        <w:rPr>
          <w:rFonts w:ascii="Arial" w:hAnsi="Arial" w:cs="Arial"/>
          <w:sz w:val="22"/>
          <w:szCs w:val="22"/>
        </w:rPr>
        <w:lastRenderedPageBreak/>
        <w:t>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1FE2555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parking</w:t>
      </w:r>
    </w:p>
    <w:p w14:paraId="48F00EAB"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3C6F94D5"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Our Governing Body comprises professional people from business, </w:t>
      </w:r>
      <w:proofErr w:type="gramStart"/>
      <w:r>
        <w:rPr>
          <w:rFonts w:ascii="Arial" w:hAnsi="Arial" w:cs="Arial"/>
          <w:sz w:val="22"/>
          <w:szCs w:val="22"/>
        </w:rPr>
        <w:t>finance</w:t>
      </w:r>
      <w:proofErr w:type="gramEnd"/>
      <w:r>
        <w:rPr>
          <w:rFonts w:ascii="Arial" w:hAnsi="Arial" w:cs="Arial"/>
          <w:sz w:val="22"/>
          <w:szCs w:val="22"/>
        </w:rPr>
        <w:t xml:space="preserve"> and education (</w:t>
      </w:r>
      <w:hyperlink r:id="rId12" w:history="1">
        <w:r>
          <w:rPr>
            <w:rStyle w:val="Hyperlink"/>
            <w:rFonts w:ascii="Arial" w:hAnsi="Arial" w:cs="Arial"/>
            <w:sz w:val="22"/>
            <w:szCs w:val="22"/>
          </w:rPr>
          <w:t>http://thenobelschool.org/about-the-school/governors/</w:t>
        </w:r>
      </w:hyperlink>
      <w:r>
        <w:rPr>
          <w:rFonts w:ascii="Arial" w:hAnsi="Arial" w:cs="Arial"/>
          <w:sz w:val="22"/>
          <w:szCs w:val="22"/>
        </w:rPr>
        <w:t xml:space="preserve">). Our Governors have both general and specialist roles in supporting the school and are very active backers of the leadership, </w:t>
      </w:r>
      <w:proofErr w:type="gramStart"/>
      <w:r>
        <w:rPr>
          <w:rFonts w:ascii="Arial" w:hAnsi="Arial" w:cs="Arial"/>
          <w:sz w:val="22"/>
          <w:szCs w:val="22"/>
        </w:rPr>
        <w:t>staff</w:t>
      </w:r>
      <w:proofErr w:type="gramEnd"/>
      <w:r>
        <w:rPr>
          <w:rFonts w:ascii="Arial" w:hAnsi="Arial" w:cs="Arial"/>
          <w:sz w:val="22"/>
          <w:szCs w:val="22"/>
        </w:rPr>
        <w:t xml:space="preserve"> and students. Additionally, the school has well-established and very close community links, with strong parental support.</w:t>
      </w:r>
    </w:p>
    <w:p w14:paraId="1FAD79A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5D2015EA" w14:textId="77777777" w:rsidR="003D7165" w:rsidRDefault="00E72D6C">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32F5989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 xml:space="preserve">We subscribe to </w:t>
      </w:r>
      <w:proofErr w:type="spellStart"/>
      <w:r>
        <w:rPr>
          <w:rFonts w:ascii="Arial" w:hAnsi="Arial" w:cs="Arial"/>
          <w:sz w:val="22"/>
          <w:szCs w:val="22"/>
        </w:rPr>
        <w:t>Perkbox</w:t>
      </w:r>
      <w:proofErr w:type="spellEnd"/>
      <w:r>
        <w:rPr>
          <w:rFonts w:ascii="Arial" w:hAnsi="Arial" w:cs="Arial"/>
          <w:sz w:val="22"/>
          <w:szCs w:val="22"/>
        </w:rPr>
        <w:t>, which includes access to a free Café Nero or Greggs every week, a free birthday box, free access to Aura Mindfulness App and discounts at Cineworld, John Lewis, Curry’s (to name but a few!).</w:t>
      </w:r>
    </w:p>
    <w:p w14:paraId="12EB7F8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contributions.</w:t>
      </w:r>
    </w:p>
    <w:p w14:paraId="6F87E0AA"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4AC2C14F"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2C7ECEBD"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during term time for those that undertake school duties. The meals are prepared daily from fresh ingredients by the school’s caterers and hot and cold food choices are available.</w:t>
      </w:r>
    </w:p>
    <w:p w14:paraId="17CDF6BD"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537F6E7A" w14:textId="77777777" w:rsidR="003D7165" w:rsidRDefault="003D7165">
      <w:pPr>
        <w:keepLines/>
        <w:ind w:right="1134"/>
        <w:rPr>
          <w:rFonts w:ascii="Arial" w:hAnsi="Arial" w:cs="Arial"/>
          <w:b/>
          <w:snapToGrid w:val="0"/>
          <w:color w:val="000000"/>
          <w:sz w:val="22"/>
          <w:szCs w:val="22"/>
        </w:rPr>
      </w:pPr>
    </w:p>
    <w:p w14:paraId="5ABE128A"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apply for this post</w:t>
      </w:r>
    </w:p>
    <w:p w14:paraId="48DA1844" w14:textId="77777777" w:rsidR="003D7165" w:rsidRDefault="003D7165">
      <w:pPr>
        <w:autoSpaceDE w:val="0"/>
        <w:autoSpaceDN w:val="0"/>
        <w:adjustRightInd w:val="0"/>
        <w:jc w:val="both"/>
        <w:rPr>
          <w:rFonts w:ascii="Arial" w:hAnsi="Arial" w:cs="Arial"/>
          <w:noProof w:val="0"/>
          <w:sz w:val="22"/>
          <w:szCs w:val="22"/>
          <w:lang w:eastAsia="en-GB"/>
        </w:rPr>
      </w:pPr>
    </w:p>
    <w:p w14:paraId="71E1C443" w14:textId="6988C1DF"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You would be joining a strong team of dedicated </w:t>
      </w:r>
      <w:r w:rsidR="00BD233C">
        <w:rPr>
          <w:rFonts w:ascii="Arial" w:hAnsi="Arial" w:cs="Arial"/>
          <w:noProof w:val="0"/>
          <w:sz w:val="22"/>
          <w:szCs w:val="22"/>
          <w:lang w:eastAsia="en-GB"/>
        </w:rPr>
        <w:t>Science</w:t>
      </w:r>
      <w:r>
        <w:rPr>
          <w:rFonts w:ascii="Arial" w:hAnsi="Arial" w:cs="Arial"/>
          <w:noProof w:val="0"/>
          <w:sz w:val="22"/>
          <w:szCs w:val="22"/>
          <w:lang w:eastAsia="en-GB"/>
        </w:rPr>
        <w:t xml:space="preserve"> teachers with a wealth of experience.  We are constantly focusing on our teaching practice and working collaboratively to share our knowledge and resources.  We believe this is the best way to ensure that the students are provided with the very best in teaching and learning. The successful candidate will be a well-qualified graduate with a passion for </w:t>
      </w:r>
      <w:proofErr w:type="gramStart"/>
      <w:r w:rsidR="00BD233C">
        <w:rPr>
          <w:rFonts w:ascii="Arial" w:hAnsi="Arial" w:cs="Arial"/>
          <w:noProof w:val="0"/>
          <w:sz w:val="22"/>
          <w:szCs w:val="22"/>
          <w:lang w:eastAsia="en-GB"/>
        </w:rPr>
        <w:t>Science</w:t>
      </w:r>
      <w:proofErr w:type="gramEnd"/>
      <w:r>
        <w:rPr>
          <w:rFonts w:ascii="Arial" w:hAnsi="Arial" w:cs="Arial"/>
          <w:noProof w:val="0"/>
          <w:sz w:val="22"/>
          <w:szCs w:val="22"/>
          <w:lang w:eastAsia="en-GB"/>
        </w:rPr>
        <w:t xml:space="preserve"> and the ability to work in a collaborative style to maximise the best outcomes for our students; above all we are looking for a colleague who can inspire </w:t>
      </w:r>
      <w:proofErr w:type="spellStart"/>
      <w:r>
        <w:rPr>
          <w:rFonts w:ascii="Arial" w:hAnsi="Arial" w:cs="Arial"/>
          <w:noProof w:val="0"/>
          <w:sz w:val="22"/>
          <w:szCs w:val="22"/>
          <w:lang w:eastAsia="en-GB"/>
        </w:rPr>
        <w:t>Nobelians</w:t>
      </w:r>
      <w:proofErr w:type="spellEnd"/>
      <w:r>
        <w:rPr>
          <w:rFonts w:ascii="Arial" w:hAnsi="Arial" w:cs="Arial"/>
          <w:noProof w:val="0"/>
          <w:sz w:val="22"/>
          <w:szCs w:val="22"/>
          <w:lang w:eastAsia="en-GB"/>
        </w:rPr>
        <w:t xml:space="preserve"> to great things.</w:t>
      </w:r>
    </w:p>
    <w:p w14:paraId="7D333D31" w14:textId="77777777" w:rsidR="003D7165" w:rsidRDefault="003D7165">
      <w:pPr>
        <w:autoSpaceDE w:val="0"/>
        <w:autoSpaceDN w:val="0"/>
        <w:adjustRightInd w:val="0"/>
        <w:jc w:val="both"/>
        <w:rPr>
          <w:rFonts w:ascii="Arial" w:hAnsi="Arial" w:cs="Arial"/>
          <w:noProof w:val="0"/>
          <w:sz w:val="22"/>
          <w:szCs w:val="22"/>
          <w:lang w:eastAsia="en-GB"/>
        </w:rPr>
      </w:pPr>
    </w:p>
    <w:p w14:paraId="31BF6E92" w14:textId="77777777" w:rsidR="003D7165" w:rsidRDefault="00E72D6C">
      <w:pPr>
        <w:autoSpaceDE w:val="0"/>
        <w:autoSpaceDN w:val="0"/>
        <w:adjustRightInd w:val="0"/>
        <w:jc w:val="both"/>
        <w:rPr>
          <w:rFonts w:ascii="Arial" w:hAnsi="Arial" w:cs="Arial"/>
          <w:noProof w:val="0"/>
          <w:sz w:val="22"/>
          <w:szCs w:val="22"/>
          <w:lang w:eastAsia="en-GB"/>
        </w:rPr>
        <w:sectPr w:rsidR="003D7165">
          <w:headerReference w:type="default" r:id="rId17"/>
          <w:footerReference w:type="default" r:id="rId18"/>
          <w:pgSz w:w="11901" w:h="16840" w:code="9"/>
          <w:pgMar w:top="720" w:right="720" w:bottom="720" w:left="720" w:header="0" w:footer="0" w:gutter="0"/>
          <w:cols w:space="708"/>
          <w:docGrid w:linePitch="326"/>
        </w:sectPr>
      </w:pPr>
      <w:r>
        <w:rPr>
          <w:rFonts w:ascii="Arial" w:hAnsi="Arial" w:cs="Arial"/>
          <w:noProof w:val="0"/>
          <w:sz w:val="22"/>
          <w:szCs w:val="22"/>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14:paraId="1801B4ED" w14:textId="77777777" w:rsidR="003D7165" w:rsidRDefault="00E72D6C">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10C66666" wp14:editId="26530DD4">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The Nobel Staff Well-Being Charter </w:t>
      </w:r>
    </w:p>
    <w:p w14:paraId="1486B26E"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placing well-being and mental health at the heart of our decision-making. </w:t>
      </w:r>
    </w:p>
    <w:p w14:paraId="0E77E0A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27F162F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developing a long-term strategy for improving staff well-being. </w:t>
      </w:r>
    </w:p>
    <w:p w14:paraId="726DAB50" w14:textId="77777777" w:rsidR="003D7165" w:rsidRDefault="00E72D6C">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3D7165" w14:paraId="4205D61A"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4520E4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0AF9A69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267798CA"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52D32E1"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3D7165" w14:paraId="653AA3D7" w14:textId="77777777">
        <w:tc>
          <w:tcPr>
            <w:tcW w:w="3828" w:type="dxa"/>
            <w:tcBorders>
              <w:top w:val="nil"/>
              <w:left w:val="single" w:sz="6" w:space="0" w:color="auto"/>
              <w:bottom w:val="single" w:sz="6" w:space="0" w:color="auto"/>
              <w:right w:val="single" w:sz="6" w:space="0" w:color="auto"/>
            </w:tcBorders>
            <w:shd w:val="clear" w:color="auto" w:fill="auto"/>
            <w:hideMark/>
          </w:tcPr>
          <w:p w14:paraId="74F380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3C9B855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5586D5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and enhancing subject knowledge. </w:t>
            </w:r>
          </w:p>
        </w:tc>
        <w:tc>
          <w:tcPr>
            <w:tcW w:w="3685" w:type="dxa"/>
            <w:tcBorders>
              <w:top w:val="nil"/>
              <w:left w:val="nil"/>
              <w:bottom w:val="single" w:sz="6" w:space="0" w:color="auto"/>
              <w:right w:val="single" w:sz="6" w:space="0" w:color="auto"/>
            </w:tcBorders>
            <w:shd w:val="clear" w:color="auto" w:fill="auto"/>
            <w:hideMark/>
          </w:tcPr>
          <w:p w14:paraId="1C67AF0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CPD time is planned in advance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50B23BCA"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60ACA09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gained time in departments during the summer term to prepare for the subsequent year. As a result we do not ‘roll over’ our timetable.  </w:t>
            </w:r>
          </w:p>
          <w:p w14:paraId="599932B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3D7165" w14:paraId="09617AC7" w14:textId="77777777">
        <w:tc>
          <w:tcPr>
            <w:tcW w:w="3828" w:type="dxa"/>
            <w:tcBorders>
              <w:top w:val="nil"/>
              <w:left w:val="single" w:sz="6" w:space="0" w:color="auto"/>
              <w:bottom w:val="single" w:sz="6" w:space="0" w:color="auto"/>
              <w:right w:val="single" w:sz="6" w:space="0" w:color="auto"/>
            </w:tcBorders>
            <w:shd w:val="clear" w:color="auto" w:fill="auto"/>
            <w:hideMark/>
          </w:tcPr>
          <w:p w14:paraId="15AC4C6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Individual marking policies are set by the department CTL in consultation with their department members with no set expectation for volume of teacher marking from SLT. </w:t>
            </w:r>
          </w:p>
          <w:p w14:paraId="0DFB77A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32983D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6AB421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are able to (and indeed encouraged) to attend courses to broaden their own knowledge.   </w:t>
            </w:r>
          </w:p>
          <w:p w14:paraId="1B7BED3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In recent years this has included staff attending </w:t>
            </w:r>
            <w:proofErr w:type="spellStart"/>
            <w:r>
              <w:rPr>
                <w:rFonts w:asciiTheme="minorHAnsi" w:eastAsia="Times New Roman" w:hAnsiTheme="minorHAnsi" w:cstheme="minorHAnsi"/>
                <w:noProof w:val="0"/>
                <w:sz w:val="22"/>
                <w:szCs w:val="22"/>
                <w:lang w:eastAsia="en-GB"/>
              </w:rPr>
              <w:t>ResearchED</w:t>
            </w:r>
            <w:proofErr w:type="spellEnd"/>
            <w:r>
              <w:rPr>
                <w:rFonts w:asciiTheme="minorHAnsi" w:eastAsia="Times New Roman" w:hAnsiTheme="minorHAnsi" w:cstheme="minorHAnsi"/>
                <w:noProof w:val="0"/>
                <w:sz w:val="22"/>
                <w:szCs w:val="22"/>
                <w:lang w:eastAsia="en-GB"/>
              </w:rPr>
              <w:t>, AQA, Edexcel and OCR training, courses by Evidence based Education, a wide variety of external speakers and NPQML/SL qualifications.  </w:t>
            </w:r>
          </w:p>
          <w:p w14:paraId="7C4951B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3D1C74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briefings and line management. </w:t>
            </w:r>
          </w:p>
          <w:p w14:paraId="41D6E64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C4E0D4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3D7165" w14:paraId="55365C20" w14:textId="77777777">
        <w:tc>
          <w:tcPr>
            <w:tcW w:w="3828" w:type="dxa"/>
            <w:tcBorders>
              <w:top w:val="nil"/>
              <w:left w:val="single" w:sz="6" w:space="0" w:color="auto"/>
              <w:bottom w:val="single" w:sz="4" w:space="0" w:color="auto"/>
              <w:right w:val="single" w:sz="6" w:space="0" w:color="auto"/>
            </w:tcBorders>
            <w:shd w:val="clear" w:color="auto" w:fill="auto"/>
            <w:hideMark/>
          </w:tcPr>
          <w:p w14:paraId="7BAFC72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1774EF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791C93D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585FCD6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SLT walk the school site every period to ensure all feel supported. The only question SLT will ask a teacher during these walks is ‘Who is doing really well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E58F5C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65D91C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We employ a member of the support staff to act as a mental health first aider for all our staff. This means that all colleagues know they can refer colleagues to a trained professional if they have concerns. </w:t>
            </w:r>
          </w:p>
        </w:tc>
      </w:tr>
      <w:tr w:rsidR="003D7165" w14:paraId="02AE04F5"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217916C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 xml:space="preserve">Inset time to mark: </w:t>
            </w:r>
            <w:r>
              <w:rPr>
                <w:rFonts w:asciiTheme="minorHAnsi" w:eastAsia="Times New Roman" w:hAnsiTheme="minorHAnsi" w:cstheme="minorHAnsi"/>
                <w:noProof w:val="0"/>
                <w:sz w:val="22"/>
                <w:szCs w:val="22"/>
                <w:lang w:eastAsia="en-GB"/>
              </w:rPr>
              <w:t>There is eight hours of Inset time given to staff to mark KS3 exams and mock exams for exam classes. </w:t>
            </w:r>
          </w:p>
          <w:p w14:paraId="3D6BEAB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0187C8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66EC95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132E2D2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has frequent meetings with the union and work collaboratively with the union reps. </w:t>
            </w:r>
          </w:p>
          <w:p w14:paraId="6D85F27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6B401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 xml:space="preserve">Our </w:t>
            </w:r>
            <w:proofErr w:type="spellStart"/>
            <w:r>
              <w:rPr>
                <w:rFonts w:asciiTheme="minorHAnsi" w:eastAsia="Times New Roman" w:hAnsiTheme="minorHAnsi" w:cstheme="minorHAnsi"/>
                <w:noProof w:val="0"/>
                <w:sz w:val="22"/>
                <w:szCs w:val="22"/>
                <w:lang w:eastAsia="en-GB"/>
              </w:rPr>
              <w:t>Perkbox</w:t>
            </w:r>
            <w:proofErr w:type="spellEnd"/>
            <w:r>
              <w:rPr>
                <w:rFonts w:asciiTheme="minorHAnsi" w:eastAsia="Times New Roman" w:hAnsiTheme="minorHAnsi" w:cstheme="minorHAnsi"/>
                <w:noProof w:val="0"/>
                <w:sz w:val="22"/>
                <w:szCs w:val="22"/>
                <w:lang w:eastAsia="en-GB"/>
              </w:rPr>
              <w:t xml:space="preserve"> subscriptions includes four free counselling sessions for each member of staff. </w:t>
            </w:r>
          </w:p>
        </w:tc>
      </w:tr>
      <w:tr w:rsidR="003D7165" w14:paraId="389781D7" w14:textId="77777777">
        <w:tc>
          <w:tcPr>
            <w:tcW w:w="3828" w:type="dxa"/>
            <w:tcBorders>
              <w:top w:val="nil"/>
              <w:left w:val="single" w:sz="6" w:space="0" w:color="auto"/>
              <w:bottom w:val="single" w:sz="6" w:space="0" w:color="auto"/>
              <w:right w:val="single" w:sz="6" w:space="0" w:color="auto"/>
            </w:tcBorders>
            <w:shd w:val="clear" w:color="auto" w:fill="auto"/>
            <w:hideMark/>
          </w:tcPr>
          <w:p w14:paraId="6900CB3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5E8127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operate a centralised detention system. All staff take part in 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BD8D38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838A03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At Nobel our T&amp;L view is shaped by a research informed view of pedagogy and we resist fads and gimmicks.  </w:t>
            </w:r>
          </w:p>
          <w:p w14:paraId="5F6634B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We do not have a diktat for lessons and instead utilise the Nobel Principles of Learning that are primarily derived from </w:t>
            </w:r>
            <w:proofErr w:type="spellStart"/>
            <w:r>
              <w:rPr>
                <w:rFonts w:asciiTheme="minorHAnsi" w:eastAsia="Times New Roman" w:hAnsiTheme="minorHAnsi" w:cstheme="minorHAnsi"/>
                <w:noProof w:val="0"/>
                <w:color w:val="000000"/>
                <w:sz w:val="22"/>
                <w:szCs w:val="22"/>
                <w:lang w:eastAsia="en-GB"/>
              </w:rPr>
              <w:t>Rosenshine’s</w:t>
            </w:r>
            <w:proofErr w:type="spellEnd"/>
            <w:r>
              <w:rPr>
                <w:rFonts w:asciiTheme="minorHAnsi" w:eastAsia="Times New Roman" w:hAnsiTheme="minorHAnsi" w:cstheme="minorHAnsi"/>
                <w:noProof w:val="0"/>
                <w:color w:val="000000"/>
                <w:sz w:val="22"/>
                <w:szCs w:val="22"/>
                <w:lang w:eastAsia="en-GB"/>
              </w:rPr>
              <w:t xml:space="preserve"> Principles of Instruction and </w:t>
            </w:r>
            <w:proofErr w:type="spellStart"/>
            <w:r>
              <w:rPr>
                <w:rFonts w:asciiTheme="minorHAnsi" w:eastAsia="Times New Roman" w:hAnsiTheme="minorHAnsi" w:cstheme="minorHAnsi"/>
                <w:noProof w:val="0"/>
                <w:color w:val="000000"/>
                <w:sz w:val="22"/>
                <w:szCs w:val="22"/>
                <w:lang w:eastAsia="en-GB"/>
              </w:rPr>
              <w:t>Lemov’s</w:t>
            </w:r>
            <w:proofErr w:type="spellEnd"/>
            <w:r>
              <w:rPr>
                <w:rFonts w:asciiTheme="minorHAnsi" w:eastAsia="Times New Roman" w:hAnsiTheme="minorHAnsi" w:cstheme="minorHAnsi"/>
                <w:noProof w:val="0"/>
                <w:color w:val="000000"/>
                <w:sz w:val="22"/>
                <w:szCs w:val="22"/>
                <w:lang w:eastAsia="en-GB"/>
              </w:rPr>
              <w:t xml:space="preserve">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F01442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1EA110D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 All staff are welcome to attend and discuss any concerns with him. </w:t>
            </w:r>
          </w:p>
          <w:p w14:paraId="2410059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5B4150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 xml:space="preserve">Every week we give out an ABC award to a colleague who has gone Above and Beyond the Call of Duty. We also collate student thank </w:t>
            </w:r>
            <w:proofErr w:type="spellStart"/>
            <w:r>
              <w:rPr>
                <w:rFonts w:asciiTheme="minorHAnsi" w:eastAsia="Times New Roman" w:hAnsiTheme="minorHAnsi" w:cstheme="minorHAnsi"/>
                <w:noProof w:val="0"/>
                <w:sz w:val="22"/>
                <w:szCs w:val="22"/>
                <w:lang w:eastAsia="en-GB"/>
              </w:rPr>
              <w:t>yous</w:t>
            </w:r>
            <w:proofErr w:type="spellEnd"/>
            <w:r>
              <w:rPr>
                <w:rFonts w:asciiTheme="minorHAnsi" w:eastAsia="Times New Roman" w:hAnsiTheme="minorHAnsi" w:cstheme="minorHAnsi"/>
                <w:noProof w:val="0"/>
                <w:sz w:val="22"/>
                <w:szCs w:val="22"/>
                <w:lang w:eastAsia="en-GB"/>
              </w:rPr>
              <w:t xml:space="preserve"> and share them at briefing every term. </w:t>
            </w:r>
          </w:p>
        </w:tc>
      </w:tr>
      <w:tr w:rsidR="003D7165" w14:paraId="43C94305" w14:textId="77777777">
        <w:tc>
          <w:tcPr>
            <w:tcW w:w="3828" w:type="dxa"/>
            <w:tcBorders>
              <w:top w:val="nil"/>
              <w:left w:val="single" w:sz="6" w:space="0" w:color="auto"/>
              <w:bottom w:val="single" w:sz="6" w:space="0" w:color="auto"/>
              <w:right w:val="single" w:sz="6" w:space="0" w:color="auto"/>
            </w:tcBorders>
            <w:shd w:val="clear" w:color="auto" w:fill="auto"/>
            <w:hideMark/>
          </w:tcPr>
          <w:p w14:paraId="275CD5D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Rarely cover policy: </w:t>
            </w:r>
            <w:r>
              <w:rPr>
                <w:rFonts w:asciiTheme="minorHAnsi" w:eastAsia="Times New Roman" w:hAnsiTheme="minorHAnsi" w:cstheme="minorHAnsi"/>
                <w:noProof w:val="0"/>
                <w:sz w:val="22"/>
                <w:szCs w:val="22"/>
                <w:lang w:eastAsia="en-GB"/>
              </w:rPr>
              <w:t xml:space="preserve">We operate a rarely cover policy where </w:t>
            </w:r>
            <w:proofErr w:type="spellStart"/>
            <w:r>
              <w:rPr>
                <w:rFonts w:asciiTheme="minorHAnsi" w:eastAsia="Times New Roman" w:hAnsiTheme="minorHAnsi" w:cstheme="minorHAnsi"/>
                <w:noProof w:val="0"/>
                <w:sz w:val="22"/>
                <w:szCs w:val="22"/>
                <w:lang w:eastAsia="en-GB"/>
              </w:rPr>
              <w:t>mainscale</w:t>
            </w:r>
            <w:proofErr w:type="spellEnd"/>
            <w:r>
              <w:rPr>
                <w:rFonts w:asciiTheme="minorHAnsi" w:eastAsia="Times New Roman" w:hAnsiTheme="minorHAnsi" w:cstheme="minorHAnsi"/>
                <w:noProof w:val="0"/>
                <w:sz w:val="22"/>
                <w:szCs w:val="22"/>
                <w:lang w:eastAsia="en-GB"/>
              </w:rPr>
              <w:t>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F8496E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C9E418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2E44026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021CEBA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All lunch duties are carried out on a voluntary basis. Where staff sign up to a lunch duty they receive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2A89556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719D8A2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Coming together as a staff body is important and we subsidise a Christmas Party and a Summer party for all staff. We have a whole-staff breakfast and tea party at the end of each term.  </w:t>
            </w:r>
          </w:p>
        </w:tc>
      </w:tr>
      <w:tr w:rsidR="003D7165" w14:paraId="275FD6E3"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1B1CFCA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42151A0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3E93B74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EB4F5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354EFA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31FBF19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home. </w:t>
            </w:r>
          </w:p>
          <w:p w14:paraId="296F215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22C37DBC" w14:textId="77777777" w:rsidR="003D7165" w:rsidRDefault="003D7165">
      <w:pPr>
        <w:textAlignment w:val="baseline"/>
        <w:rPr>
          <w:rFonts w:asciiTheme="minorHAnsi" w:eastAsia="Times New Roman" w:hAnsiTheme="minorHAnsi" w:cstheme="minorHAnsi"/>
          <w:noProof w:val="0"/>
          <w:sz w:val="22"/>
          <w:szCs w:val="22"/>
          <w:lang w:eastAsia="en-GB"/>
        </w:rPr>
      </w:pPr>
    </w:p>
    <w:sectPr w:rsidR="003D7165">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4CB" w14:textId="77777777" w:rsidR="003D7165" w:rsidRDefault="00E72D6C">
      <w:r>
        <w:separator/>
      </w:r>
    </w:p>
  </w:endnote>
  <w:endnote w:type="continuationSeparator" w:id="0">
    <w:p w14:paraId="11B1BB42" w14:textId="77777777" w:rsidR="003D7165" w:rsidRDefault="00E7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C27D" w14:textId="77777777" w:rsidR="003D7165" w:rsidRDefault="003D7165">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4F63" w14:textId="77777777" w:rsidR="003D7165" w:rsidRDefault="00E72D6C">
      <w:r>
        <w:separator/>
      </w:r>
    </w:p>
  </w:footnote>
  <w:footnote w:type="continuationSeparator" w:id="0">
    <w:p w14:paraId="153C792E" w14:textId="77777777" w:rsidR="003D7165" w:rsidRDefault="00E7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C7E3" w14:textId="77777777" w:rsidR="003D7165" w:rsidRDefault="003D7165">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581222">
    <w:abstractNumId w:val="0"/>
  </w:num>
  <w:num w:numId="2" w16cid:durableId="1127239645">
    <w:abstractNumId w:val="2"/>
  </w:num>
  <w:num w:numId="3" w16cid:durableId="2050570704">
    <w:abstractNumId w:val="1"/>
  </w:num>
  <w:num w:numId="4" w16cid:durableId="108981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65"/>
    <w:rsid w:val="00110801"/>
    <w:rsid w:val="003D7165"/>
    <w:rsid w:val="00754670"/>
    <w:rsid w:val="00960F84"/>
    <w:rsid w:val="009A4539"/>
    <w:rsid w:val="00A8261B"/>
    <w:rsid w:val="00BD233C"/>
    <w:rsid w:val="00E7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6892"/>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Crow</cp:lastModifiedBy>
  <cp:revision>2</cp:revision>
  <cp:lastPrinted>2018-04-17T14:40:00Z</cp:lastPrinted>
  <dcterms:created xsi:type="dcterms:W3CDTF">2023-09-21T12:19:00Z</dcterms:created>
  <dcterms:modified xsi:type="dcterms:W3CDTF">2023-09-21T12:19:00Z</dcterms:modified>
</cp:coreProperties>
</file>