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E96B" w14:textId="77777777" w:rsidR="0002731C" w:rsidRPr="00443E5D" w:rsidRDefault="0002731C" w:rsidP="00443E5D">
      <w:pPr>
        <w:spacing w:after="0" w:line="240" w:lineRule="auto"/>
        <w:jc w:val="both"/>
        <w:rPr>
          <w:rFonts w:ascii="Avenir Next LT Pro" w:eastAsia="Times New Roman" w:hAnsi="Avenir Next LT Pro" w:cs="Calibri"/>
          <w:lang w:val="en-GB"/>
        </w:rPr>
      </w:pPr>
    </w:p>
    <w:p w14:paraId="12E45D9A" w14:textId="77777777" w:rsidR="00443E5D" w:rsidRPr="00443E5D" w:rsidRDefault="00443E5D" w:rsidP="00443E5D">
      <w:pPr>
        <w:jc w:val="both"/>
        <w:rPr>
          <w:rFonts w:ascii="Avenir Next LT Pro" w:hAnsi="Avenir Next LT Pro" w:cs="Calibri"/>
          <w:sz w:val="22"/>
          <w:szCs w:val="22"/>
        </w:rPr>
      </w:pPr>
      <w:r w:rsidRPr="00443E5D">
        <w:rPr>
          <w:rFonts w:ascii="Avenir Next LT Pro" w:hAnsi="Avenir Next LT Pro" w:cs="Calibri"/>
          <w:sz w:val="22"/>
          <w:szCs w:val="22"/>
        </w:rPr>
        <w:t>Dear prospective Governor,</w:t>
      </w:r>
    </w:p>
    <w:p w14:paraId="5DE790CB" w14:textId="77777777" w:rsidR="00443E5D" w:rsidRPr="00443E5D" w:rsidRDefault="00443E5D" w:rsidP="00443E5D">
      <w:pPr>
        <w:jc w:val="both"/>
        <w:rPr>
          <w:rFonts w:ascii="Avenir Next LT Pro" w:hAnsi="Avenir Next LT Pro" w:cs="Calibri"/>
          <w:sz w:val="22"/>
          <w:szCs w:val="22"/>
        </w:rPr>
      </w:pPr>
      <w:r w:rsidRPr="00443E5D">
        <w:rPr>
          <w:rFonts w:ascii="Avenir Next LT Pro" w:hAnsi="Avenir Next LT Pro" w:cs="Calibri"/>
          <w:sz w:val="22"/>
          <w:szCs w:val="22"/>
        </w:rPr>
        <w:t>Larwood School is a small, specialist primary SEMH school in Stevenage, with a strong sense of care, purpose and community. We work with children whose early experiences have made school feel challenging, helping them to feel safe, understood and ready to learn again at a crucial stage in their lives.</w:t>
      </w:r>
    </w:p>
    <w:p w14:paraId="17AAB043" w14:textId="77777777" w:rsidR="00443E5D" w:rsidRPr="00443E5D" w:rsidRDefault="00443E5D" w:rsidP="00443E5D">
      <w:pPr>
        <w:jc w:val="both"/>
        <w:rPr>
          <w:rFonts w:ascii="Avenir Next LT Pro" w:hAnsi="Avenir Next LT Pro" w:cs="Calibri"/>
          <w:sz w:val="22"/>
          <w:szCs w:val="22"/>
        </w:rPr>
      </w:pPr>
      <w:r w:rsidRPr="00443E5D">
        <w:rPr>
          <w:rFonts w:ascii="Avenir Next LT Pro" w:hAnsi="Avenir Next LT Pro" w:cs="Calibri"/>
          <w:sz w:val="22"/>
          <w:szCs w:val="22"/>
        </w:rPr>
        <w:t>Larwood School currently consists of a main school site based in Stevenage, alongside a temporary satellite provision at Beech Road in Dunstable. This satellite provision is due to relocate to its permanent site in Pulloxhill immanently, supporting the school’s continued growth and development while maintaining the same values, standards and expectations across all provision.</w:t>
      </w:r>
    </w:p>
    <w:p w14:paraId="0A38BF21" w14:textId="77777777" w:rsidR="00443E5D" w:rsidRPr="00443E5D" w:rsidRDefault="00443E5D" w:rsidP="00443E5D">
      <w:pPr>
        <w:jc w:val="both"/>
        <w:rPr>
          <w:rFonts w:ascii="Avenir Next LT Pro" w:hAnsi="Avenir Next LT Pro" w:cs="Calibri"/>
          <w:sz w:val="22"/>
          <w:szCs w:val="22"/>
        </w:rPr>
      </w:pPr>
      <w:r w:rsidRPr="00443E5D">
        <w:rPr>
          <w:rFonts w:ascii="Avenir Next LT Pro" w:hAnsi="Avenir Next LT Pro" w:cs="Calibri"/>
          <w:sz w:val="22"/>
          <w:szCs w:val="22"/>
        </w:rPr>
        <w:t>We are currently looking to welcome new Local Governors to join our governing body and play a meaningful role in supporting the continued growth and success of the school. This role is about partnership. Local Governors work alongside the Headteacher and staff team, offering encouragement, thoughtful challenge and strategic oversight so that leaders and staff are well supported to do their best work for children. As part of Brighter Futures Educational Trust, governors operate within a clear Scheme of Delegation, focusing on safeguarding, culture, wellbeing and the quality of provision rather than day-to-day operations.</w:t>
      </w:r>
    </w:p>
    <w:p w14:paraId="3E08FEB9" w14:textId="77777777" w:rsidR="00443E5D" w:rsidRPr="00443E5D" w:rsidRDefault="00443E5D" w:rsidP="00443E5D">
      <w:pPr>
        <w:jc w:val="both"/>
        <w:rPr>
          <w:rFonts w:ascii="Avenir Next LT Pro" w:hAnsi="Avenir Next LT Pro" w:cs="Calibri"/>
          <w:sz w:val="22"/>
          <w:szCs w:val="22"/>
        </w:rPr>
      </w:pPr>
      <w:r w:rsidRPr="00443E5D">
        <w:rPr>
          <w:rFonts w:ascii="Avenir Next LT Pro" w:hAnsi="Avenir Next LT Pro" w:cs="Calibri"/>
          <w:sz w:val="22"/>
          <w:szCs w:val="22"/>
        </w:rPr>
        <w:t>Larwood already benefits from an established and experienced Chair of Governors, and we are keen to build a governing body that brings together a range of skills, perspectives and lived experience.</w:t>
      </w:r>
    </w:p>
    <w:p w14:paraId="7A20DFB6" w14:textId="77777777" w:rsidR="00443E5D" w:rsidRPr="00443E5D" w:rsidRDefault="00443E5D" w:rsidP="00443E5D">
      <w:pPr>
        <w:jc w:val="both"/>
        <w:rPr>
          <w:rFonts w:ascii="Avenir Next LT Pro" w:hAnsi="Avenir Next LT Pro" w:cs="Calibri"/>
          <w:sz w:val="22"/>
          <w:szCs w:val="22"/>
        </w:rPr>
      </w:pPr>
      <w:r w:rsidRPr="00443E5D">
        <w:rPr>
          <w:rFonts w:ascii="Avenir Next LT Pro" w:hAnsi="Avenir Next LT Pro" w:cs="Calibri"/>
          <w:sz w:val="22"/>
          <w:szCs w:val="22"/>
        </w:rPr>
        <w:t>We would particularly welcome interest from people with experience or insight in:</w:t>
      </w:r>
    </w:p>
    <w:p w14:paraId="5A334785" w14:textId="77777777" w:rsidR="00443E5D" w:rsidRPr="00443E5D" w:rsidRDefault="00443E5D" w:rsidP="00443E5D">
      <w:pPr>
        <w:pStyle w:val="ListParagraph"/>
        <w:numPr>
          <w:ilvl w:val="0"/>
          <w:numId w:val="14"/>
        </w:numPr>
        <w:jc w:val="both"/>
        <w:rPr>
          <w:rFonts w:ascii="Avenir Next LT Pro" w:hAnsi="Avenir Next LT Pro" w:cs="Calibri"/>
          <w:sz w:val="22"/>
          <w:szCs w:val="22"/>
        </w:rPr>
      </w:pPr>
      <w:r w:rsidRPr="00443E5D">
        <w:rPr>
          <w:rFonts w:ascii="Avenir Next LT Pro" w:hAnsi="Avenir Next LT Pro" w:cs="Calibri"/>
          <w:sz w:val="22"/>
          <w:szCs w:val="22"/>
        </w:rPr>
        <w:t>Education, school improvement or specialist provision</w:t>
      </w:r>
    </w:p>
    <w:p w14:paraId="7C4BA3A3" w14:textId="77777777" w:rsidR="00443E5D" w:rsidRPr="00443E5D" w:rsidRDefault="00443E5D" w:rsidP="00443E5D">
      <w:pPr>
        <w:pStyle w:val="ListParagraph"/>
        <w:numPr>
          <w:ilvl w:val="0"/>
          <w:numId w:val="14"/>
        </w:numPr>
        <w:jc w:val="both"/>
        <w:rPr>
          <w:rFonts w:ascii="Avenir Next LT Pro" w:hAnsi="Avenir Next LT Pro" w:cs="Calibri"/>
          <w:sz w:val="22"/>
          <w:szCs w:val="22"/>
        </w:rPr>
      </w:pPr>
      <w:r w:rsidRPr="00443E5D">
        <w:rPr>
          <w:rFonts w:ascii="Avenir Next LT Pro" w:hAnsi="Avenir Next LT Pro" w:cs="Calibri"/>
          <w:sz w:val="22"/>
          <w:szCs w:val="22"/>
        </w:rPr>
        <w:t>Safeguarding, child protection or work with vulnerable children (including policing and multi-agency safeguarding and youth justice)</w:t>
      </w:r>
    </w:p>
    <w:p w14:paraId="7CD19ABF" w14:textId="77777777" w:rsidR="00443E5D" w:rsidRPr="00443E5D" w:rsidRDefault="00443E5D" w:rsidP="00443E5D">
      <w:pPr>
        <w:pStyle w:val="ListParagraph"/>
        <w:numPr>
          <w:ilvl w:val="0"/>
          <w:numId w:val="14"/>
        </w:numPr>
        <w:jc w:val="both"/>
        <w:rPr>
          <w:rFonts w:ascii="Avenir Next LT Pro" w:hAnsi="Avenir Next LT Pro" w:cs="Calibri"/>
          <w:sz w:val="22"/>
          <w:szCs w:val="22"/>
        </w:rPr>
      </w:pPr>
      <w:r w:rsidRPr="00443E5D">
        <w:rPr>
          <w:rFonts w:ascii="Avenir Next LT Pro" w:hAnsi="Avenir Next LT Pro" w:cs="Calibri"/>
          <w:sz w:val="22"/>
          <w:szCs w:val="22"/>
        </w:rPr>
        <w:t>SEND, SEMH, inclusion, mental health or therapeutic services</w:t>
      </w:r>
    </w:p>
    <w:p w14:paraId="102A9F61" w14:textId="77777777" w:rsidR="00443E5D" w:rsidRPr="00443E5D" w:rsidRDefault="00443E5D" w:rsidP="00443E5D">
      <w:pPr>
        <w:pStyle w:val="ListParagraph"/>
        <w:numPr>
          <w:ilvl w:val="0"/>
          <w:numId w:val="14"/>
        </w:numPr>
        <w:jc w:val="both"/>
        <w:rPr>
          <w:rFonts w:ascii="Avenir Next LT Pro" w:hAnsi="Avenir Next LT Pro" w:cs="Calibri"/>
          <w:sz w:val="22"/>
          <w:szCs w:val="22"/>
        </w:rPr>
      </w:pPr>
      <w:r w:rsidRPr="00443E5D">
        <w:rPr>
          <w:rFonts w:ascii="Avenir Next LT Pro" w:hAnsi="Avenir Next LT Pro" w:cs="Calibri"/>
          <w:sz w:val="22"/>
          <w:szCs w:val="22"/>
        </w:rPr>
        <w:t>Finance, audit, risk and compliance</w:t>
      </w:r>
    </w:p>
    <w:p w14:paraId="4E3107CE" w14:textId="77777777" w:rsidR="00443E5D" w:rsidRPr="00443E5D" w:rsidRDefault="00443E5D" w:rsidP="00443E5D">
      <w:pPr>
        <w:pStyle w:val="ListParagraph"/>
        <w:numPr>
          <w:ilvl w:val="0"/>
          <w:numId w:val="14"/>
        </w:numPr>
        <w:jc w:val="both"/>
        <w:rPr>
          <w:rFonts w:ascii="Avenir Next LT Pro" w:hAnsi="Avenir Next LT Pro" w:cs="Calibri"/>
          <w:sz w:val="22"/>
          <w:szCs w:val="22"/>
        </w:rPr>
      </w:pPr>
      <w:r w:rsidRPr="00443E5D">
        <w:rPr>
          <w:rFonts w:ascii="Avenir Next LT Pro" w:hAnsi="Avenir Next LT Pro" w:cs="Calibri"/>
          <w:sz w:val="22"/>
          <w:szCs w:val="22"/>
        </w:rPr>
        <w:t>Health and social care</w:t>
      </w:r>
    </w:p>
    <w:p w14:paraId="4A05532F" w14:textId="77777777" w:rsidR="00443E5D" w:rsidRPr="00443E5D" w:rsidRDefault="00443E5D" w:rsidP="00443E5D">
      <w:pPr>
        <w:pStyle w:val="ListParagraph"/>
        <w:numPr>
          <w:ilvl w:val="0"/>
          <w:numId w:val="14"/>
        </w:numPr>
        <w:jc w:val="both"/>
        <w:rPr>
          <w:rFonts w:ascii="Avenir Next LT Pro" w:hAnsi="Avenir Next LT Pro" w:cs="Calibri"/>
          <w:sz w:val="22"/>
          <w:szCs w:val="22"/>
        </w:rPr>
      </w:pPr>
      <w:r w:rsidRPr="00443E5D">
        <w:rPr>
          <w:rFonts w:ascii="Avenir Next LT Pro" w:hAnsi="Avenir Next LT Pro" w:cs="Calibri"/>
          <w:sz w:val="22"/>
          <w:szCs w:val="22"/>
        </w:rPr>
        <w:t>Estates, facilities or health and safety</w:t>
      </w:r>
    </w:p>
    <w:p w14:paraId="49551AC0" w14:textId="77777777" w:rsidR="00443E5D" w:rsidRPr="00443E5D" w:rsidRDefault="00443E5D" w:rsidP="00443E5D">
      <w:pPr>
        <w:pStyle w:val="ListParagraph"/>
        <w:numPr>
          <w:ilvl w:val="0"/>
          <w:numId w:val="14"/>
        </w:numPr>
        <w:jc w:val="both"/>
        <w:rPr>
          <w:rFonts w:ascii="Avenir Next LT Pro" w:hAnsi="Avenir Next LT Pro" w:cs="Calibri"/>
          <w:sz w:val="22"/>
          <w:szCs w:val="22"/>
        </w:rPr>
      </w:pPr>
      <w:r w:rsidRPr="00443E5D">
        <w:rPr>
          <w:rFonts w:ascii="Avenir Next LT Pro" w:hAnsi="Avenir Next LT Pro" w:cs="Calibri"/>
          <w:sz w:val="22"/>
          <w:szCs w:val="22"/>
        </w:rPr>
        <w:t>HR, people leadership or organisational culture</w:t>
      </w:r>
    </w:p>
    <w:p w14:paraId="60F00812" w14:textId="77777777" w:rsidR="00443E5D" w:rsidRPr="00443E5D" w:rsidRDefault="00443E5D" w:rsidP="00443E5D">
      <w:pPr>
        <w:pStyle w:val="ListParagraph"/>
        <w:numPr>
          <w:ilvl w:val="0"/>
          <w:numId w:val="14"/>
        </w:numPr>
        <w:jc w:val="both"/>
        <w:rPr>
          <w:rFonts w:ascii="Avenir Next LT Pro" w:hAnsi="Avenir Next LT Pro" w:cs="Calibri"/>
          <w:sz w:val="22"/>
          <w:szCs w:val="22"/>
        </w:rPr>
      </w:pPr>
      <w:r w:rsidRPr="00443E5D">
        <w:rPr>
          <w:rFonts w:ascii="Avenir Next LT Pro" w:hAnsi="Avenir Next LT Pro" w:cs="Calibri"/>
          <w:sz w:val="22"/>
          <w:szCs w:val="22"/>
        </w:rPr>
        <w:t>Community leadership or business management</w:t>
      </w:r>
    </w:p>
    <w:p w14:paraId="73728FF3" w14:textId="77777777" w:rsidR="00443E5D" w:rsidRPr="00443E5D" w:rsidRDefault="00443E5D" w:rsidP="00443E5D">
      <w:pPr>
        <w:pStyle w:val="ListParagraph"/>
        <w:numPr>
          <w:ilvl w:val="0"/>
          <w:numId w:val="14"/>
        </w:numPr>
        <w:jc w:val="both"/>
        <w:rPr>
          <w:rFonts w:ascii="Avenir Next LT Pro" w:hAnsi="Avenir Next LT Pro" w:cs="Calibri"/>
          <w:sz w:val="22"/>
          <w:szCs w:val="22"/>
        </w:rPr>
      </w:pPr>
      <w:r w:rsidRPr="00443E5D">
        <w:rPr>
          <w:rFonts w:ascii="Avenir Next LT Pro" w:hAnsi="Avenir Next LT Pro" w:cs="Calibri"/>
          <w:sz w:val="22"/>
          <w:szCs w:val="22"/>
        </w:rPr>
        <w:t>Knowledge of the local community and experience working with families</w:t>
      </w:r>
    </w:p>
    <w:p w14:paraId="0D094F52" w14:textId="77777777" w:rsidR="00443E5D" w:rsidRPr="00443E5D" w:rsidRDefault="00443E5D" w:rsidP="00443E5D">
      <w:pPr>
        <w:jc w:val="both"/>
        <w:rPr>
          <w:rFonts w:ascii="Avenir Next LT Pro" w:hAnsi="Avenir Next LT Pro" w:cs="Calibri"/>
          <w:sz w:val="22"/>
          <w:szCs w:val="22"/>
        </w:rPr>
      </w:pPr>
      <w:r w:rsidRPr="00443E5D">
        <w:rPr>
          <w:rFonts w:ascii="Avenir Next LT Pro" w:hAnsi="Avenir Next LT Pro" w:cs="Calibri"/>
          <w:sz w:val="22"/>
          <w:szCs w:val="22"/>
        </w:rPr>
        <w:t>You do not need previous governance experience. What matters most is a genuine commitment to children, a willingness to listen and learn, and the ability to offer balanced support and challenge in a respectful way.</w:t>
      </w:r>
    </w:p>
    <w:p w14:paraId="3934C1F3" w14:textId="77777777" w:rsidR="00443E5D" w:rsidRPr="00443E5D" w:rsidRDefault="00443E5D" w:rsidP="00443E5D">
      <w:pPr>
        <w:jc w:val="both"/>
        <w:rPr>
          <w:rFonts w:ascii="Avenir Next LT Pro" w:hAnsi="Avenir Next LT Pro" w:cs="Calibri"/>
          <w:sz w:val="22"/>
          <w:szCs w:val="22"/>
        </w:rPr>
      </w:pPr>
      <w:r w:rsidRPr="00443E5D">
        <w:rPr>
          <w:rFonts w:ascii="Avenir Next LT Pro" w:hAnsi="Avenir Next LT Pro" w:cs="Calibri"/>
          <w:sz w:val="22"/>
          <w:szCs w:val="22"/>
        </w:rPr>
        <w:lastRenderedPageBreak/>
        <w:t>The time commitment is designed to be manageable and meaningful, typically involving a number of meetings across the year, occasional school visits and access to training and development. Governors are well supported by the Chair, the school leadership team and the Trust.</w:t>
      </w:r>
    </w:p>
    <w:p w14:paraId="380153DB" w14:textId="77777777" w:rsidR="00443E5D" w:rsidRPr="00443E5D" w:rsidRDefault="00443E5D" w:rsidP="00443E5D">
      <w:pPr>
        <w:jc w:val="both"/>
        <w:rPr>
          <w:rFonts w:ascii="Avenir Next LT Pro" w:hAnsi="Avenir Next LT Pro" w:cs="Calibri"/>
          <w:sz w:val="22"/>
          <w:szCs w:val="22"/>
        </w:rPr>
      </w:pPr>
      <w:r w:rsidRPr="00443E5D">
        <w:rPr>
          <w:rFonts w:ascii="Avenir Next LT Pro" w:hAnsi="Avenir Next LT Pro" w:cs="Calibri"/>
          <w:sz w:val="22"/>
          <w:szCs w:val="22"/>
        </w:rPr>
        <w:t>Being a governor at Larwood is an opportunity to support the Headteacher and staff in creating the stability, care and consistency that children need to thrive. We would also warmly welcome referrals from parents and carers who may know of someone else with the skills, experience or interest to get involved in our school as a governor. Recommendations from within our community are greatly valued.</w:t>
      </w:r>
    </w:p>
    <w:p w14:paraId="25FAC476" w14:textId="77777777" w:rsidR="00443E5D" w:rsidRPr="00443E5D" w:rsidRDefault="00443E5D" w:rsidP="00443E5D">
      <w:pPr>
        <w:jc w:val="both"/>
        <w:rPr>
          <w:rFonts w:ascii="Avenir Next LT Pro" w:hAnsi="Avenir Next LT Pro" w:cs="Calibri"/>
          <w:sz w:val="22"/>
          <w:szCs w:val="22"/>
        </w:rPr>
      </w:pPr>
      <w:r w:rsidRPr="00443E5D">
        <w:rPr>
          <w:rFonts w:ascii="Avenir Next LT Pro" w:hAnsi="Avenir Next LT Pro" w:cs="Calibri"/>
          <w:sz w:val="22"/>
          <w:szCs w:val="22"/>
        </w:rPr>
        <w:t>If this sounds like something you would like to explore, we would be delighted to hear from you.</w:t>
      </w:r>
    </w:p>
    <w:p w14:paraId="204FBCC9" w14:textId="77777777" w:rsidR="00443E5D" w:rsidRPr="00443E5D" w:rsidRDefault="00443E5D" w:rsidP="00443E5D">
      <w:pPr>
        <w:jc w:val="both"/>
        <w:rPr>
          <w:rFonts w:ascii="Avenir Next LT Pro" w:hAnsi="Avenir Next LT Pro" w:cs="Calibri"/>
          <w:sz w:val="22"/>
          <w:szCs w:val="22"/>
        </w:rPr>
      </w:pPr>
      <w:r w:rsidRPr="00443E5D">
        <w:rPr>
          <w:rFonts w:ascii="Avenir Next LT Pro" w:hAnsi="Avenir Next LT Pro" w:cs="Calibri"/>
          <w:sz w:val="22"/>
          <w:szCs w:val="22"/>
        </w:rPr>
        <w:t>Yours sincerely,</w:t>
      </w:r>
    </w:p>
    <w:p w14:paraId="2E0A1D4C" w14:textId="77777777" w:rsidR="00443E5D" w:rsidRPr="00443E5D" w:rsidRDefault="00443E5D" w:rsidP="00443E5D">
      <w:pPr>
        <w:jc w:val="both"/>
        <w:rPr>
          <w:rFonts w:ascii="Avenir Next LT Pro" w:hAnsi="Avenir Next LT Pro" w:cs="Calibri"/>
          <w:sz w:val="22"/>
          <w:szCs w:val="22"/>
        </w:rPr>
      </w:pPr>
      <w:r w:rsidRPr="00443E5D">
        <w:rPr>
          <w:rFonts w:ascii="Avenir Next LT Pro" w:hAnsi="Avenir Next LT Pro" w:cs="Calibri"/>
          <w:sz w:val="22"/>
          <w:szCs w:val="22"/>
          <w:highlight w:val="yellow"/>
        </w:rPr>
        <w:t>Chair of Governors?????</w:t>
      </w:r>
    </w:p>
    <w:p w14:paraId="5512C1E0" w14:textId="77777777" w:rsidR="00443E5D" w:rsidRPr="00443E5D" w:rsidRDefault="00443E5D" w:rsidP="00443E5D">
      <w:pPr>
        <w:jc w:val="both"/>
        <w:rPr>
          <w:rFonts w:ascii="Avenir Next LT Pro" w:hAnsi="Avenir Next LT Pro" w:cs="Calibri"/>
          <w:sz w:val="22"/>
          <w:szCs w:val="22"/>
        </w:rPr>
      </w:pPr>
      <w:r w:rsidRPr="00443E5D">
        <w:rPr>
          <w:rFonts w:ascii="Avenir Next LT Pro" w:hAnsi="Avenir Next LT Pro" w:cs="Calibri"/>
          <w:sz w:val="22"/>
          <w:szCs w:val="22"/>
        </w:rPr>
        <w:t>Larwood School</w:t>
      </w:r>
    </w:p>
    <w:p w14:paraId="0043072B" w14:textId="77777777" w:rsidR="00E171C1" w:rsidRDefault="00E171C1" w:rsidP="007C1B8A">
      <w:pPr>
        <w:spacing w:after="0" w:line="240" w:lineRule="auto"/>
        <w:rPr>
          <w:rFonts w:ascii="Avenir Next LT Pro" w:eastAsia="Times New Roman" w:hAnsi="Avenir Next LT Pro" w:cs="Calibri"/>
          <w:lang w:val="en-GB"/>
        </w:rPr>
      </w:pPr>
    </w:p>
    <w:p w14:paraId="486860FF" w14:textId="77777777" w:rsidR="00EE32CD" w:rsidRDefault="00EE32CD" w:rsidP="00EE32CD">
      <w:pPr>
        <w:spacing w:after="0" w:line="240" w:lineRule="auto"/>
        <w:rPr>
          <w:rFonts w:eastAsia="Times New Roman" w:cs="Calibri"/>
          <w:b/>
          <w:lang w:val="en-US"/>
        </w:rPr>
      </w:pPr>
    </w:p>
    <w:p w14:paraId="13D40880" w14:textId="77777777" w:rsidR="00EE32CD" w:rsidRPr="00475206" w:rsidRDefault="00EE32CD" w:rsidP="00EE32CD">
      <w:pPr>
        <w:spacing w:after="0" w:line="240" w:lineRule="auto"/>
        <w:rPr>
          <w:rFonts w:eastAsia="Times New Roman" w:cs="Calibri"/>
          <w:b/>
          <w:lang w:val="en-US"/>
        </w:rPr>
      </w:pPr>
    </w:p>
    <w:p w14:paraId="760761DD" w14:textId="19E4AFA1" w:rsidR="00111956" w:rsidRPr="007B1345" w:rsidRDefault="00111956" w:rsidP="007B1345">
      <w:pPr>
        <w:pStyle w:val="BFETStyle"/>
        <w:rPr>
          <w:lang w:val="en-GB"/>
        </w:rPr>
      </w:pPr>
    </w:p>
    <w:sectPr w:rsidR="00111956" w:rsidRPr="007B1345" w:rsidSect="00111956">
      <w:headerReference w:type="default" r:id="rId7"/>
      <w:footerReference w:type="default" r:id="rId8"/>
      <w:headerReference w:type="first" r:id="rId9"/>
      <w:footerReference w:type="first" r:id="rId10"/>
      <w:pgSz w:w="11906" w:h="16838"/>
      <w:pgMar w:top="3430" w:right="686" w:bottom="1440" w:left="1015" w:header="493"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A3A8" w14:textId="77777777" w:rsidR="00B22158" w:rsidRDefault="00B22158" w:rsidP="00DF323A">
      <w:pPr>
        <w:spacing w:after="0" w:line="240" w:lineRule="auto"/>
      </w:pPr>
      <w:r>
        <w:separator/>
      </w:r>
    </w:p>
  </w:endnote>
  <w:endnote w:type="continuationSeparator" w:id="0">
    <w:p w14:paraId="3329E51C" w14:textId="77777777" w:rsidR="00B22158" w:rsidRDefault="00B22158" w:rsidP="00DF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23D2" w14:textId="4D4A26BC" w:rsidR="00DF323A" w:rsidRDefault="00DF323A" w:rsidP="00DF323A">
    <w:pPr>
      <w:pStyle w:val="Footer"/>
      <w:ind w:left="-1418" w:hanging="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C3CF" w14:textId="6F8F4AFA" w:rsidR="00DF323A" w:rsidRDefault="00DF323A" w:rsidP="00DF323A">
    <w:pPr>
      <w:pStyle w:val="Footer"/>
      <w:ind w:left="-1418" w:hanging="22"/>
    </w:pPr>
    <w:r>
      <w:rPr>
        <w:noProof/>
      </w:rPr>
      <w:drawing>
        <wp:inline distT="0" distB="0" distL="0" distR="0" wp14:anchorId="673C581F" wp14:editId="14F68008">
          <wp:extent cx="7836195" cy="803066"/>
          <wp:effectExtent l="0" t="0" r="0" b="0"/>
          <wp:docPr id="1381608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08611" name="Picture 1381608611"/>
                  <pic:cNvPicPr/>
                </pic:nvPicPr>
                <pic:blipFill>
                  <a:blip r:embed="rId1">
                    <a:extLst>
                      <a:ext uri="{28A0092B-C50C-407E-A947-70E740481C1C}">
                        <a14:useLocalDpi xmlns:a14="http://schemas.microsoft.com/office/drawing/2010/main" val="0"/>
                      </a:ext>
                    </a:extLst>
                  </a:blip>
                  <a:stretch>
                    <a:fillRect/>
                  </a:stretch>
                </pic:blipFill>
                <pic:spPr>
                  <a:xfrm>
                    <a:off x="0" y="0"/>
                    <a:ext cx="8342115" cy="8549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85D4" w14:textId="77777777" w:rsidR="00B22158" w:rsidRDefault="00B22158" w:rsidP="00DF323A">
      <w:pPr>
        <w:spacing w:after="0" w:line="240" w:lineRule="auto"/>
      </w:pPr>
      <w:r>
        <w:separator/>
      </w:r>
    </w:p>
  </w:footnote>
  <w:footnote w:type="continuationSeparator" w:id="0">
    <w:p w14:paraId="302983E3" w14:textId="77777777" w:rsidR="00B22158" w:rsidRDefault="00B22158" w:rsidP="00DF3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8CF6" w14:textId="1D0BCEE0" w:rsidR="00DF323A" w:rsidRDefault="00DF15F7" w:rsidP="00DF323A">
    <w:pPr>
      <w:pStyle w:val="Header"/>
      <w:ind w:left="-1440"/>
    </w:pPr>
    <w:r>
      <w:rPr>
        <w:noProof/>
      </w:rPr>
      <w:drawing>
        <wp:inline distT="0" distB="0" distL="0" distR="0" wp14:anchorId="151C81F0" wp14:editId="0B3DDC72">
          <wp:extent cx="7814930" cy="1326433"/>
          <wp:effectExtent l="0" t="0" r="0" b="0"/>
          <wp:docPr id="489205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05282" name="Picture 489205282"/>
                  <pic:cNvPicPr/>
                </pic:nvPicPr>
                <pic:blipFill>
                  <a:blip r:embed="rId1">
                    <a:extLst>
                      <a:ext uri="{28A0092B-C50C-407E-A947-70E740481C1C}">
                        <a14:useLocalDpi xmlns:a14="http://schemas.microsoft.com/office/drawing/2010/main" val="0"/>
                      </a:ext>
                    </a:extLst>
                  </a:blip>
                  <a:stretch>
                    <a:fillRect/>
                  </a:stretch>
                </pic:blipFill>
                <pic:spPr>
                  <a:xfrm>
                    <a:off x="0" y="0"/>
                    <a:ext cx="7971402" cy="1352991"/>
                  </a:xfrm>
                  <a:prstGeom prst="rect">
                    <a:avLst/>
                  </a:prstGeom>
                </pic:spPr>
              </pic:pic>
            </a:graphicData>
          </a:graphic>
        </wp:inline>
      </w:drawing>
    </w:r>
  </w:p>
  <w:p w14:paraId="3BC92776" w14:textId="77777777" w:rsidR="00DF323A" w:rsidRDefault="00DF3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34B9" w14:textId="40003A35" w:rsidR="00DF323A" w:rsidRDefault="00DF323A" w:rsidP="00DF323A">
    <w:pPr>
      <w:pStyle w:val="Header"/>
      <w:ind w:left="-1440" w:firstLine="22"/>
    </w:pPr>
    <w:r>
      <w:rPr>
        <w:noProof/>
      </w:rPr>
      <w:drawing>
        <wp:inline distT="0" distB="0" distL="0" distR="0" wp14:anchorId="63C5E64F" wp14:editId="16A4B1B3">
          <wp:extent cx="7896223" cy="1658679"/>
          <wp:effectExtent l="0" t="0" r="3810" b="5080"/>
          <wp:docPr id="2047228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28264" name="Picture 2047228264"/>
                  <pic:cNvPicPr/>
                </pic:nvPicPr>
                <pic:blipFill>
                  <a:blip r:embed="rId1">
                    <a:extLst>
                      <a:ext uri="{28A0092B-C50C-407E-A947-70E740481C1C}">
                        <a14:useLocalDpi xmlns:a14="http://schemas.microsoft.com/office/drawing/2010/main" val="0"/>
                      </a:ext>
                    </a:extLst>
                  </a:blip>
                  <a:stretch>
                    <a:fillRect/>
                  </a:stretch>
                </pic:blipFill>
                <pic:spPr>
                  <a:xfrm>
                    <a:off x="0" y="0"/>
                    <a:ext cx="8034959" cy="16878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770F"/>
    <w:multiLevelType w:val="hybridMultilevel"/>
    <w:tmpl w:val="77022C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204A3D"/>
    <w:multiLevelType w:val="hybridMultilevel"/>
    <w:tmpl w:val="E0A00B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68600B"/>
    <w:multiLevelType w:val="hybridMultilevel"/>
    <w:tmpl w:val="65945BEA"/>
    <w:lvl w:ilvl="0" w:tplc="7592E894">
      <w:start w:val="1"/>
      <w:numFmt w:val="decimal"/>
      <w:suff w:val="space"/>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933AC"/>
    <w:multiLevelType w:val="hybridMultilevel"/>
    <w:tmpl w:val="08FACA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883F97"/>
    <w:multiLevelType w:val="hybridMultilevel"/>
    <w:tmpl w:val="BC3CBED8"/>
    <w:lvl w:ilvl="0" w:tplc="08090017">
      <w:start w:val="1"/>
      <w:numFmt w:val="lowerLetter"/>
      <w:lvlText w:val="%1)"/>
      <w:lvlJc w:val="left"/>
      <w:pPr>
        <w:ind w:left="720" w:hanging="360"/>
      </w:pPr>
    </w:lvl>
    <w:lvl w:ilvl="1" w:tplc="12C67A92">
      <w:start w:val="4"/>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7071DD"/>
    <w:multiLevelType w:val="hybridMultilevel"/>
    <w:tmpl w:val="BDD66E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CD284D"/>
    <w:multiLevelType w:val="multilevel"/>
    <w:tmpl w:val="773C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225E4"/>
    <w:multiLevelType w:val="multilevel"/>
    <w:tmpl w:val="937A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245AC"/>
    <w:multiLevelType w:val="hybridMultilevel"/>
    <w:tmpl w:val="058081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442ADA"/>
    <w:multiLevelType w:val="multilevel"/>
    <w:tmpl w:val="4302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865EC0"/>
    <w:multiLevelType w:val="hybridMultilevel"/>
    <w:tmpl w:val="E37814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5E5433"/>
    <w:multiLevelType w:val="hybridMultilevel"/>
    <w:tmpl w:val="AA9CB4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2F2D79"/>
    <w:multiLevelType w:val="hybridMultilevel"/>
    <w:tmpl w:val="C46AC3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177BC7"/>
    <w:multiLevelType w:val="hybridMultilevel"/>
    <w:tmpl w:val="BFC8E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736050">
    <w:abstractNumId w:val="2"/>
  </w:num>
  <w:num w:numId="2" w16cid:durableId="1428039125">
    <w:abstractNumId w:val="1"/>
  </w:num>
  <w:num w:numId="3" w16cid:durableId="1064064415">
    <w:abstractNumId w:val="0"/>
  </w:num>
  <w:num w:numId="4" w16cid:durableId="1568762421">
    <w:abstractNumId w:val="4"/>
  </w:num>
  <w:num w:numId="5" w16cid:durableId="1827547074">
    <w:abstractNumId w:val="8"/>
  </w:num>
  <w:num w:numId="6" w16cid:durableId="1718509372">
    <w:abstractNumId w:val="11"/>
  </w:num>
  <w:num w:numId="7" w16cid:durableId="713625880">
    <w:abstractNumId w:val="3"/>
  </w:num>
  <w:num w:numId="8" w16cid:durableId="1046416076">
    <w:abstractNumId w:val="10"/>
  </w:num>
  <w:num w:numId="9" w16cid:durableId="1917200538">
    <w:abstractNumId w:val="12"/>
  </w:num>
  <w:num w:numId="10" w16cid:durableId="148595343">
    <w:abstractNumId w:val="5"/>
  </w:num>
  <w:num w:numId="11" w16cid:durableId="1793673503">
    <w:abstractNumId w:val="6"/>
  </w:num>
  <w:num w:numId="12" w16cid:durableId="999424745">
    <w:abstractNumId w:val="9"/>
  </w:num>
  <w:num w:numId="13" w16cid:durableId="854265340">
    <w:abstractNumId w:val="7"/>
  </w:num>
  <w:num w:numId="14" w16cid:durableId="12951332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3A"/>
    <w:rsid w:val="0002731C"/>
    <w:rsid w:val="000423CE"/>
    <w:rsid w:val="000A0738"/>
    <w:rsid w:val="00111956"/>
    <w:rsid w:val="00142D24"/>
    <w:rsid w:val="00246BFF"/>
    <w:rsid w:val="003B5828"/>
    <w:rsid w:val="003D39BA"/>
    <w:rsid w:val="00443E5D"/>
    <w:rsid w:val="00472360"/>
    <w:rsid w:val="00554586"/>
    <w:rsid w:val="00563056"/>
    <w:rsid w:val="00585E77"/>
    <w:rsid w:val="005951D4"/>
    <w:rsid w:val="00625925"/>
    <w:rsid w:val="006E7A77"/>
    <w:rsid w:val="006F572E"/>
    <w:rsid w:val="007A5FF9"/>
    <w:rsid w:val="007B1345"/>
    <w:rsid w:val="007C1B8A"/>
    <w:rsid w:val="007F4F2E"/>
    <w:rsid w:val="00885400"/>
    <w:rsid w:val="008D118C"/>
    <w:rsid w:val="009B04F8"/>
    <w:rsid w:val="009E0956"/>
    <w:rsid w:val="00AE2FB3"/>
    <w:rsid w:val="00B22158"/>
    <w:rsid w:val="00B83BFC"/>
    <w:rsid w:val="00BB65B1"/>
    <w:rsid w:val="00C00356"/>
    <w:rsid w:val="00C52571"/>
    <w:rsid w:val="00C86D9E"/>
    <w:rsid w:val="00DB38EB"/>
    <w:rsid w:val="00DE4775"/>
    <w:rsid w:val="00DE4A50"/>
    <w:rsid w:val="00DF15F7"/>
    <w:rsid w:val="00DF323A"/>
    <w:rsid w:val="00E171C1"/>
    <w:rsid w:val="00E7531D"/>
    <w:rsid w:val="00ED62C7"/>
    <w:rsid w:val="00EE090D"/>
    <w:rsid w:val="00EE32CD"/>
    <w:rsid w:val="00F3200A"/>
    <w:rsid w:val="00F90E3C"/>
    <w:rsid w:val="00FE7C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3A90"/>
  <w15:chartTrackingRefBased/>
  <w15:docId w15:val="{09F1258C-133D-7F42-B51F-8957A10A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23A"/>
    <w:rPr>
      <w:rFonts w:eastAsiaTheme="majorEastAsia" w:cstheme="majorBidi"/>
      <w:color w:val="272727" w:themeColor="text1" w:themeTint="D8"/>
    </w:rPr>
  </w:style>
  <w:style w:type="paragraph" w:styleId="Title">
    <w:name w:val="Title"/>
    <w:basedOn w:val="Normal"/>
    <w:next w:val="Normal"/>
    <w:link w:val="TitleChar"/>
    <w:uiPriority w:val="10"/>
    <w:qFormat/>
    <w:rsid w:val="00DF3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23A"/>
    <w:pPr>
      <w:spacing w:before="160"/>
      <w:jc w:val="center"/>
    </w:pPr>
    <w:rPr>
      <w:i/>
      <w:iCs/>
      <w:color w:val="404040" w:themeColor="text1" w:themeTint="BF"/>
    </w:rPr>
  </w:style>
  <w:style w:type="character" w:customStyle="1" w:styleId="QuoteChar">
    <w:name w:val="Quote Char"/>
    <w:basedOn w:val="DefaultParagraphFont"/>
    <w:link w:val="Quote"/>
    <w:uiPriority w:val="29"/>
    <w:rsid w:val="00DF323A"/>
    <w:rPr>
      <w:i/>
      <w:iCs/>
      <w:color w:val="404040" w:themeColor="text1" w:themeTint="BF"/>
    </w:rPr>
  </w:style>
  <w:style w:type="paragraph" w:styleId="ListParagraph">
    <w:name w:val="List Paragraph"/>
    <w:basedOn w:val="Normal"/>
    <w:uiPriority w:val="34"/>
    <w:qFormat/>
    <w:rsid w:val="00DF323A"/>
    <w:pPr>
      <w:ind w:left="720"/>
      <w:contextualSpacing/>
    </w:pPr>
  </w:style>
  <w:style w:type="character" w:styleId="IntenseEmphasis">
    <w:name w:val="Intense Emphasis"/>
    <w:basedOn w:val="DefaultParagraphFont"/>
    <w:uiPriority w:val="21"/>
    <w:qFormat/>
    <w:rsid w:val="00DF323A"/>
    <w:rPr>
      <w:i/>
      <w:iCs/>
      <w:color w:val="0F4761" w:themeColor="accent1" w:themeShade="BF"/>
    </w:rPr>
  </w:style>
  <w:style w:type="paragraph" w:styleId="IntenseQuote">
    <w:name w:val="Intense Quote"/>
    <w:basedOn w:val="Normal"/>
    <w:next w:val="Normal"/>
    <w:link w:val="IntenseQuoteChar"/>
    <w:uiPriority w:val="30"/>
    <w:qFormat/>
    <w:rsid w:val="00DF3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23A"/>
    <w:rPr>
      <w:i/>
      <w:iCs/>
      <w:color w:val="0F4761" w:themeColor="accent1" w:themeShade="BF"/>
    </w:rPr>
  </w:style>
  <w:style w:type="character" w:styleId="IntenseReference">
    <w:name w:val="Intense Reference"/>
    <w:basedOn w:val="DefaultParagraphFont"/>
    <w:uiPriority w:val="32"/>
    <w:qFormat/>
    <w:rsid w:val="00DF323A"/>
    <w:rPr>
      <w:b/>
      <w:bCs/>
      <w:smallCaps/>
      <w:color w:val="0F4761" w:themeColor="accent1" w:themeShade="BF"/>
      <w:spacing w:val="5"/>
    </w:rPr>
  </w:style>
  <w:style w:type="paragraph" w:styleId="Header">
    <w:name w:val="header"/>
    <w:basedOn w:val="Normal"/>
    <w:link w:val="HeaderChar"/>
    <w:uiPriority w:val="99"/>
    <w:unhideWhenUsed/>
    <w:rsid w:val="00DF3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23A"/>
  </w:style>
  <w:style w:type="paragraph" w:styleId="Footer">
    <w:name w:val="footer"/>
    <w:basedOn w:val="Normal"/>
    <w:link w:val="FooterChar"/>
    <w:uiPriority w:val="99"/>
    <w:unhideWhenUsed/>
    <w:rsid w:val="00DF3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23A"/>
  </w:style>
  <w:style w:type="paragraph" w:customStyle="1" w:styleId="BFETStyle">
    <w:name w:val="BFET Style"/>
    <w:basedOn w:val="Normal"/>
    <w:qFormat/>
    <w:rsid w:val="00BB65B1"/>
    <w:pPr>
      <w:ind w:right="-330"/>
      <w:jc w:val="both"/>
    </w:pPr>
    <w:rPr>
      <w:rFonts w:ascii="Montserrat" w:hAnsi="Montserrat"/>
      <w:lang w:val="en-US"/>
    </w:rPr>
  </w:style>
  <w:style w:type="table" w:styleId="TableGrid">
    <w:name w:val="Table Grid"/>
    <w:basedOn w:val="TableNormal"/>
    <w:uiPriority w:val="39"/>
    <w:rsid w:val="00EE32CD"/>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71C1"/>
    <w:rPr>
      <w:color w:val="467886" w:themeColor="hyperlink"/>
      <w:u w:val="single"/>
    </w:rPr>
  </w:style>
  <w:style w:type="character" w:styleId="UnresolvedMention">
    <w:name w:val="Unresolved Mention"/>
    <w:basedOn w:val="DefaultParagraphFont"/>
    <w:uiPriority w:val="99"/>
    <w:semiHidden/>
    <w:unhideWhenUsed/>
    <w:rsid w:val="00E17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2689</Characters>
  <Application>Microsoft Office Word</Application>
  <DocSecurity>0</DocSecurity>
  <Lines>40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Mercia Strapp</dc:creator>
  <cp:keywords/>
  <dc:description/>
  <cp:lastModifiedBy>Francesca Lewis</cp:lastModifiedBy>
  <cp:revision>3</cp:revision>
  <dcterms:created xsi:type="dcterms:W3CDTF">2026-01-20T11:12:00Z</dcterms:created>
  <dcterms:modified xsi:type="dcterms:W3CDTF">2026-01-20T11:12:00Z</dcterms:modified>
</cp:coreProperties>
</file>