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B5DE" w14:textId="77777777" w:rsidR="00421455" w:rsidRDefault="009C2724">
      <w:pPr>
        <w:jc w:val="center"/>
      </w:pPr>
      <w:r>
        <w:rPr>
          <w:noProof/>
        </w:rPr>
        <w:drawing>
          <wp:inline distT="0" distB="0" distL="0" distR="0" wp14:anchorId="0EDA449D" wp14:editId="4D6623F8">
            <wp:extent cx="3111500" cy="9029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ark_Federation_FullColour_CMYK.jpg"/>
                    <pic:cNvPicPr/>
                  </pic:nvPicPr>
                  <pic:blipFill>
                    <a:blip r:embed="rId8"/>
                    <a:stretch>
                      <a:fillRect/>
                    </a:stretch>
                  </pic:blipFill>
                  <pic:spPr>
                    <a:xfrm>
                      <a:off x="0" y="0"/>
                      <a:ext cx="3123471" cy="906452"/>
                    </a:xfrm>
                    <a:prstGeom prst="rect">
                      <a:avLst/>
                    </a:prstGeom>
                  </pic:spPr>
                </pic:pic>
              </a:graphicData>
            </a:graphic>
          </wp:inline>
        </w:drawing>
      </w:r>
    </w:p>
    <w:p w14:paraId="0AF411C2" w14:textId="7C3B2389" w:rsidR="00421455" w:rsidRPr="00BA37D9" w:rsidRDefault="009C2724" w:rsidP="00826C4E">
      <w:pPr>
        <w:jc w:val="center"/>
        <w:rPr>
          <w:rFonts w:ascii="Arial" w:hAnsi="Arial" w:cs="Arial"/>
        </w:rPr>
      </w:pPr>
      <w:r w:rsidRPr="00BA37D9">
        <w:rPr>
          <w:rFonts w:ascii="Arial" w:hAnsi="Arial" w:cs="Arial"/>
          <w:b/>
          <w:sz w:val="36"/>
        </w:rPr>
        <w:t>Embark Federation</w:t>
      </w:r>
      <w:r w:rsidRPr="00BA37D9">
        <w:rPr>
          <w:rFonts w:ascii="Arial" w:hAnsi="Arial" w:cs="Arial"/>
          <w:b/>
          <w:sz w:val="36"/>
        </w:rPr>
        <w:br/>
      </w:r>
      <w:r w:rsidRPr="00BA37D9">
        <w:rPr>
          <w:rFonts w:ascii="Arial" w:hAnsi="Arial" w:cs="Arial"/>
          <w:b/>
          <w:sz w:val="30"/>
        </w:rPr>
        <w:t>JOB DESCRIPTION</w:t>
      </w:r>
      <w:r w:rsidRPr="00BA37D9">
        <w:rPr>
          <w:rFonts w:ascii="Arial" w:hAnsi="Arial" w:cs="Arial"/>
          <w:b/>
          <w:sz w:val="30"/>
        </w:rPr>
        <w:br/>
      </w:r>
      <w:r w:rsidRPr="00BA37D9">
        <w:rPr>
          <w:rFonts w:ascii="Arial" w:hAnsi="Arial" w:cs="Arial"/>
          <w:b/>
          <w:sz w:val="34"/>
        </w:rPr>
        <w:t>Inclusion Lead</w:t>
      </w:r>
    </w:p>
    <w:tbl>
      <w:tblPr>
        <w:tblStyle w:val="TableGrid"/>
        <w:tblW w:w="0" w:type="auto"/>
        <w:jc w:val="center"/>
        <w:tblLook w:val="04A0" w:firstRow="1" w:lastRow="0" w:firstColumn="1" w:lastColumn="0" w:noHBand="0" w:noVBand="1"/>
      </w:tblPr>
      <w:tblGrid>
        <w:gridCol w:w="3339"/>
        <w:gridCol w:w="5035"/>
      </w:tblGrid>
      <w:tr w:rsidR="00421455" w:rsidRPr="00BA37D9" w14:paraId="495D1563" w14:textId="77777777" w:rsidTr="00DF53BC">
        <w:trPr>
          <w:jc w:val="center"/>
        </w:trPr>
        <w:tc>
          <w:tcPr>
            <w:tcW w:w="3339" w:type="dxa"/>
            <w:shd w:val="clear" w:color="auto" w:fill="EAE6F2"/>
            <w:vAlign w:val="center"/>
          </w:tcPr>
          <w:p w14:paraId="5059EB75" w14:textId="77777777" w:rsidR="00421455" w:rsidRPr="00BA37D9" w:rsidRDefault="009C2724">
            <w:pPr>
              <w:rPr>
                <w:rFonts w:ascii="Arial" w:hAnsi="Arial" w:cs="Arial"/>
                <w:sz w:val="24"/>
                <w:szCs w:val="24"/>
              </w:rPr>
            </w:pPr>
            <w:r w:rsidRPr="00BA37D9">
              <w:rPr>
                <w:rFonts w:ascii="Arial" w:hAnsi="Arial" w:cs="Arial"/>
                <w:b/>
                <w:sz w:val="24"/>
                <w:szCs w:val="24"/>
              </w:rPr>
              <w:t>Grade</w:t>
            </w:r>
          </w:p>
        </w:tc>
        <w:tc>
          <w:tcPr>
            <w:tcW w:w="5035" w:type="dxa"/>
            <w:vAlign w:val="center"/>
          </w:tcPr>
          <w:p w14:paraId="24AAD93F" w14:textId="4F03A101" w:rsidR="00421455" w:rsidRPr="00BA37D9" w:rsidRDefault="005E6D5F">
            <w:pPr>
              <w:rPr>
                <w:rFonts w:ascii="Arial" w:hAnsi="Arial" w:cs="Arial"/>
                <w:sz w:val="24"/>
                <w:szCs w:val="24"/>
              </w:rPr>
            </w:pPr>
            <w:r w:rsidRPr="00BA37D9">
              <w:rPr>
                <w:rFonts w:ascii="Arial" w:hAnsi="Arial" w:cs="Arial"/>
                <w:sz w:val="24"/>
                <w:szCs w:val="24"/>
              </w:rPr>
              <w:t>L3</w:t>
            </w:r>
            <w:r w:rsidR="00FC0AB3" w:rsidRPr="00BA37D9">
              <w:rPr>
                <w:rFonts w:ascii="Arial" w:hAnsi="Arial" w:cs="Arial"/>
                <w:sz w:val="24"/>
                <w:szCs w:val="24"/>
              </w:rPr>
              <w:t>0-34</w:t>
            </w:r>
          </w:p>
        </w:tc>
      </w:tr>
      <w:tr w:rsidR="00421455" w:rsidRPr="00BA37D9" w14:paraId="1CF2EE41" w14:textId="77777777" w:rsidTr="00DF53BC">
        <w:trPr>
          <w:jc w:val="center"/>
        </w:trPr>
        <w:tc>
          <w:tcPr>
            <w:tcW w:w="3339" w:type="dxa"/>
            <w:shd w:val="clear" w:color="auto" w:fill="EAE6F2"/>
            <w:vAlign w:val="center"/>
          </w:tcPr>
          <w:p w14:paraId="130A4618" w14:textId="77777777" w:rsidR="00421455" w:rsidRPr="00BA37D9" w:rsidRDefault="009C2724">
            <w:pPr>
              <w:rPr>
                <w:rFonts w:ascii="Arial" w:hAnsi="Arial" w:cs="Arial"/>
                <w:sz w:val="24"/>
                <w:szCs w:val="24"/>
              </w:rPr>
            </w:pPr>
            <w:r w:rsidRPr="00BA37D9">
              <w:rPr>
                <w:rFonts w:ascii="Arial" w:hAnsi="Arial" w:cs="Arial"/>
                <w:b/>
                <w:sz w:val="24"/>
                <w:szCs w:val="24"/>
              </w:rPr>
              <w:t>Hours</w:t>
            </w:r>
          </w:p>
        </w:tc>
        <w:tc>
          <w:tcPr>
            <w:tcW w:w="5035" w:type="dxa"/>
            <w:vAlign w:val="center"/>
          </w:tcPr>
          <w:p w14:paraId="0C2FB301" w14:textId="77777777" w:rsidR="00421455" w:rsidRPr="00BA37D9" w:rsidRDefault="009C2724">
            <w:pPr>
              <w:rPr>
                <w:rFonts w:ascii="Arial" w:hAnsi="Arial" w:cs="Arial"/>
                <w:sz w:val="24"/>
                <w:szCs w:val="24"/>
              </w:rPr>
            </w:pPr>
            <w:r w:rsidRPr="00BA37D9">
              <w:rPr>
                <w:rFonts w:ascii="Arial" w:hAnsi="Arial" w:cs="Arial"/>
                <w:sz w:val="24"/>
                <w:szCs w:val="24"/>
              </w:rPr>
              <w:t>37 hours per week</w:t>
            </w:r>
          </w:p>
        </w:tc>
      </w:tr>
      <w:tr w:rsidR="00421455" w:rsidRPr="00BA37D9" w14:paraId="5A24AC18" w14:textId="77777777" w:rsidTr="00DF53BC">
        <w:trPr>
          <w:jc w:val="center"/>
        </w:trPr>
        <w:tc>
          <w:tcPr>
            <w:tcW w:w="3339" w:type="dxa"/>
            <w:shd w:val="clear" w:color="auto" w:fill="EAE6F2"/>
            <w:vAlign w:val="center"/>
          </w:tcPr>
          <w:p w14:paraId="2EAAF2A1" w14:textId="77777777" w:rsidR="00421455" w:rsidRPr="00BA37D9" w:rsidRDefault="009C2724">
            <w:pPr>
              <w:rPr>
                <w:rFonts w:ascii="Arial" w:hAnsi="Arial" w:cs="Arial"/>
                <w:sz w:val="24"/>
                <w:szCs w:val="24"/>
              </w:rPr>
            </w:pPr>
            <w:r w:rsidRPr="00BA37D9">
              <w:rPr>
                <w:rFonts w:ascii="Arial" w:hAnsi="Arial" w:cs="Arial"/>
                <w:b/>
                <w:sz w:val="24"/>
                <w:szCs w:val="24"/>
              </w:rPr>
              <w:t>Working Pattern</w:t>
            </w:r>
          </w:p>
        </w:tc>
        <w:tc>
          <w:tcPr>
            <w:tcW w:w="5035" w:type="dxa"/>
            <w:vAlign w:val="center"/>
          </w:tcPr>
          <w:p w14:paraId="6F2ADB1C" w14:textId="77777777" w:rsidR="00421455" w:rsidRPr="00BA37D9" w:rsidRDefault="009C2724">
            <w:pPr>
              <w:rPr>
                <w:rFonts w:ascii="Arial" w:hAnsi="Arial" w:cs="Arial"/>
                <w:sz w:val="24"/>
                <w:szCs w:val="24"/>
              </w:rPr>
            </w:pPr>
            <w:r w:rsidRPr="00BA37D9">
              <w:rPr>
                <w:rFonts w:ascii="Arial" w:hAnsi="Arial" w:cs="Arial"/>
                <w:sz w:val="24"/>
                <w:szCs w:val="24"/>
              </w:rPr>
              <w:t>52 weeks per year (all year round)</w:t>
            </w:r>
          </w:p>
        </w:tc>
      </w:tr>
      <w:tr w:rsidR="00421455" w:rsidRPr="00BA37D9" w14:paraId="77B572C7" w14:textId="77777777" w:rsidTr="00DF53BC">
        <w:trPr>
          <w:jc w:val="center"/>
        </w:trPr>
        <w:tc>
          <w:tcPr>
            <w:tcW w:w="3339" w:type="dxa"/>
            <w:shd w:val="clear" w:color="auto" w:fill="EAE6F2"/>
            <w:vAlign w:val="center"/>
          </w:tcPr>
          <w:p w14:paraId="4BEAF65A" w14:textId="77777777" w:rsidR="00421455" w:rsidRPr="00BA37D9" w:rsidRDefault="009C2724">
            <w:pPr>
              <w:rPr>
                <w:rFonts w:ascii="Arial" w:hAnsi="Arial" w:cs="Arial"/>
                <w:sz w:val="24"/>
                <w:szCs w:val="24"/>
              </w:rPr>
            </w:pPr>
            <w:r w:rsidRPr="00BA37D9">
              <w:rPr>
                <w:rFonts w:ascii="Arial" w:hAnsi="Arial" w:cs="Arial"/>
                <w:b/>
                <w:sz w:val="24"/>
                <w:szCs w:val="24"/>
              </w:rPr>
              <w:t>Contract</w:t>
            </w:r>
          </w:p>
        </w:tc>
        <w:tc>
          <w:tcPr>
            <w:tcW w:w="5035" w:type="dxa"/>
            <w:vAlign w:val="center"/>
          </w:tcPr>
          <w:p w14:paraId="0FF9A82D" w14:textId="77777777" w:rsidR="00421455" w:rsidRPr="00BA37D9" w:rsidRDefault="009C2724">
            <w:pPr>
              <w:rPr>
                <w:rFonts w:ascii="Arial" w:hAnsi="Arial" w:cs="Arial"/>
                <w:sz w:val="24"/>
                <w:szCs w:val="24"/>
              </w:rPr>
            </w:pPr>
            <w:r w:rsidRPr="00BA37D9">
              <w:rPr>
                <w:rFonts w:ascii="Arial" w:hAnsi="Arial" w:cs="Arial"/>
                <w:sz w:val="24"/>
                <w:szCs w:val="24"/>
              </w:rPr>
              <w:t>Permanent</w:t>
            </w:r>
          </w:p>
        </w:tc>
      </w:tr>
      <w:tr w:rsidR="00421455" w:rsidRPr="00BA37D9" w14:paraId="0AC901AA" w14:textId="77777777" w:rsidTr="00DF53BC">
        <w:trPr>
          <w:jc w:val="center"/>
        </w:trPr>
        <w:tc>
          <w:tcPr>
            <w:tcW w:w="3339" w:type="dxa"/>
            <w:shd w:val="clear" w:color="auto" w:fill="EAE6F2"/>
            <w:vAlign w:val="center"/>
          </w:tcPr>
          <w:p w14:paraId="0701317C" w14:textId="77777777" w:rsidR="00421455" w:rsidRPr="00BA37D9" w:rsidRDefault="009C2724">
            <w:pPr>
              <w:rPr>
                <w:rFonts w:ascii="Arial" w:hAnsi="Arial" w:cs="Arial"/>
                <w:sz w:val="24"/>
                <w:szCs w:val="24"/>
              </w:rPr>
            </w:pPr>
            <w:r w:rsidRPr="00BA37D9">
              <w:rPr>
                <w:rFonts w:ascii="Arial" w:hAnsi="Arial" w:cs="Arial"/>
                <w:b/>
                <w:sz w:val="24"/>
                <w:szCs w:val="24"/>
              </w:rPr>
              <w:t>Responsible to</w:t>
            </w:r>
          </w:p>
        </w:tc>
        <w:tc>
          <w:tcPr>
            <w:tcW w:w="5035" w:type="dxa"/>
            <w:vAlign w:val="center"/>
          </w:tcPr>
          <w:p w14:paraId="53D418D2" w14:textId="3C3CA37D" w:rsidR="00421455" w:rsidRPr="00BA37D9" w:rsidRDefault="009C2724">
            <w:pPr>
              <w:rPr>
                <w:rFonts w:ascii="Arial" w:hAnsi="Arial" w:cs="Arial"/>
                <w:sz w:val="24"/>
                <w:szCs w:val="24"/>
              </w:rPr>
            </w:pPr>
            <w:r w:rsidRPr="00BA37D9">
              <w:rPr>
                <w:rFonts w:ascii="Arial" w:hAnsi="Arial" w:cs="Arial"/>
                <w:sz w:val="24"/>
                <w:szCs w:val="24"/>
              </w:rPr>
              <w:t xml:space="preserve">Deputy </w:t>
            </w:r>
            <w:r w:rsidR="00427114" w:rsidRPr="00BA37D9">
              <w:rPr>
                <w:rFonts w:ascii="Arial" w:hAnsi="Arial" w:cs="Arial"/>
                <w:sz w:val="24"/>
                <w:szCs w:val="24"/>
              </w:rPr>
              <w:t>CEO</w:t>
            </w:r>
          </w:p>
        </w:tc>
      </w:tr>
      <w:tr w:rsidR="00421455" w:rsidRPr="00BA37D9" w14:paraId="0C87CF56" w14:textId="77777777" w:rsidTr="00DF53BC">
        <w:trPr>
          <w:jc w:val="center"/>
        </w:trPr>
        <w:tc>
          <w:tcPr>
            <w:tcW w:w="3339" w:type="dxa"/>
            <w:shd w:val="clear" w:color="auto" w:fill="EAE6F2"/>
            <w:vAlign w:val="center"/>
          </w:tcPr>
          <w:p w14:paraId="5C519446" w14:textId="77777777" w:rsidR="00421455" w:rsidRPr="00BA37D9" w:rsidRDefault="009C2724">
            <w:pPr>
              <w:rPr>
                <w:rFonts w:ascii="Arial" w:hAnsi="Arial" w:cs="Arial"/>
                <w:sz w:val="24"/>
                <w:szCs w:val="24"/>
              </w:rPr>
            </w:pPr>
            <w:r w:rsidRPr="00BA37D9">
              <w:rPr>
                <w:rFonts w:ascii="Arial" w:hAnsi="Arial" w:cs="Arial"/>
                <w:b/>
                <w:sz w:val="24"/>
                <w:szCs w:val="24"/>
              </w:rPr>
              <w:t>Responsible for</w:t>
            </w:r>
          </w:p>
        </w:tc>
        <w:tc>
          <w:tcPr>
            <w:tcW w:w="5035" w:type="dxa"/>
            <w:vAlign w:val="center"/>
          </w:tcPr>
          <w:p w14:paraId="40B22024" w14:textId="77777777" w:rsidR="00421455" w:rsidRPr="00BA37D9" w:rsidRDefault="009C2724">
            <w:pPr>
              <w:rPr>
                <w:rFonts w:ascii="Arial" w:hAnsi="Arial" w:cs="Arial"/>
                <w:sz w:val="24"/>
                <w:szCs w:val="24"/>
              </w:rPr>
            </w:pPr>
            <w:r w:rsidRPr="00BA37D9">
              <w:rPr>
                <w:rFonts w:ascii="Arial" w:hAnsi="Arial" w:cs="Arial"/>
                <w:sz w:val="24"/>
                <w:szCs w:val="24"/>
              </w:rPr>
              <w:t>Trust-wide inclusion, vulnerable groups, attendance, behaviour, strategic improvement groups, inclusion review and improvement across primary and secondary schools</w:t>
            </w:r>
          </w:p>
        </w:tc>
      </w:tr>
    </w:tbl>
    <w:p w14:paraId="054CDE4F" w14:textId="77777777" w:rsidR="00826C4E" w:rsidRDefault="00826C4E">
      <w:pPr>
        <w:rPr>
          <w:rFonts w:ascii="Arial" w:hAnsi="Arial" w:cs="Arial"/>
          <w:b/>
          <w:sz w:val="24"/>
          <w:szCs w:val="24"/>
        </w:rPr>
      </w:pPr>
    </w:p>
    <w:p w14:paraId="12A669A3" w14:textId="3219C8AE" w:rsidR="00D33D5C" w:rsidRPr="005E19D2" w:rsidRDefault="00D33D5C" w:rsidP="00D33D5C">
      <w:pPr>
        <w:spacing w:after="80" w:line="264" w:lineRule="auto"/>
        <w:rPr>
          <w:rFonts w:ascii="Arial" w:hAnsi="Arial" w:cs="Arial"/>
          <w:b/>
          <w:bCs/>
          <w:i/>
          <w:iCs/>
          <w:sz w:val="24"/>
          <w:szCs w:val="24"/>
        </w:rPr>
      </w:pPr>
      <w:r w:rsidRPr="00C97770">
        <w:rPr>
          <w:rFonts w:ascii="Arial" w:hAnsi="Arial" w:cs="Arial"/>
          <w:b/>
          <w:bCs/>
          <w:i/>
          <w:iCs/>
          <w:sz w:val="24"/>
          <w:szCs w:val="24"/>
        </w:rPr>
        <w:t xml:space="preserve">Please </w:t>
      </w:r>
      <w:proofErr w:type="gramStart"/>
      <w:r w:rsidRPr="00C97770">
        <w:rPr>
          <w:rFonts w:ascii="Arial" w:hAnsi="Arial" w:cs="Arial"/>
          <w:b/>
          <w:bCs/>
          <w:i/>
          <w:iCs/>
          <w:sz w:val="24"/>
          <w:szCs w:val="24"/>
        </w:rPr>
        <w:t>note:</w:t>
      </w:r>
      <w:proofErr w:type="gramEnd"/>
      <w:r w:rsidRPr="00C97770">
        <w:rPr>
          <w:rFonts w:ascii="Arial" w:hAnsi="Arial" w:cs="Arial"/>
          <w:b/>
          <w:bCs/>
          <w:i/>
          <w:iCs/>
          <w:sz w:val="24"/>
          <w:szCs w:val="24"/>
        </w:rPr>
        <w:t xml:space="preserve"> </w:t>
      </w:r>
      <w:r w:rsidRPr="00C97770">
        <w:rPr>
          <w:rFonts w:ascii="Arial" w:hAnsi="Arial" w:cs="Arial"/>
          <w:i/>
          <w:iCs/>
          <w:sz w:val="24"/>
          <w:szCs w:val="24"/>
        </w:rPr>
        <w:t>reference</w:t>
      </w:r>
      <w:r w:rsidRPr="00C97770">
        <w:rPr>
          <w:rFonts w:ascii="Arial" w:hAnsi="Arial" w:cs="Arial"/>
          <w:b/>
          <w:bCs/>
          <w:i/>
          <w:iCs/>
          <w:sz w:val="24"/>
          <w:szCs w:val="24"/>
        </w:rPr>
        <w:t xml:space="preserve"> </w:t>
      </w:r>
      <w:r w:rsidRPr="00C97770">
        <w:rPr>
          <w:rFonts w:ascii="Arial" w:hAnsi="Arial" w:cs="Arial"/>
          <w:i/>
          <w:iCs/>
          <w:sz w:val="24"/>
          <w:szCs w:val="24"/>
        </w:rPr>
        <w:t xml:space="preserve">to </w:t>
      </w:r>
      <w:r w:rsidRPr="00C97770">
        <w:rPr>
          <w:rFonts w:ascii="Arial" w:hAnsi="Arial" w:cs="Arial"/>
          <w:b/>
          <w:bCs/>
          <w:i/>
          <w:iCs/>
          <w:sz w:val="24"/>
          <w:szCs w:val="24"/>
          <w:u w:val="single"/>
        </w:rPr>
        <w:t>vulnerable groups</w:t>
      </w:r>
      <w:r w:rsidRPr="00C97770">
        <w:rPr>
          <w:rFonts w:ascii="Arial" w:hAnsi="Arial" w:cs="Arial"/>
          <w:i/>
          <w:iCs/>
          <w:sz w:val="24"/>
          <w:szCs w:val="24"/>
        </w:rPr>
        <w:t xml:space="preserve"> </w:t>
      </w:r>
      <w:proofErr w:type="gramStart"/>
      <w:r w:rsidRPr="00C97770">
        <w:rPr>
          <w:rFonts w:ascii="Arial" w:hAnsi="Arial" w:cs="Arial"/>
          <w:i/>
          <w:iCs/>
          <w:sz w:val="24"/>
          <w:szCs w:val="24"/>
        </w:rPr>
        <w:t>includes</w:t>
      </w:r>
      <w:proofErr w:type="gramEnd"/>
      <w:r w:rsidRPr="00C97770">
        <w:rPr>
          <w:rFonts w:ascii="Arial" w:hAnsi="Arial" w:cs="Arial"/>
          <w:i/>
          <w:iCs/>
          <w:sz w:val="24"/>
          <w:szCs w:val="24"/>
        </w:rPr>
        <w:t xml:space="preserve"> disadvantaged pupils, those with SEND, those who are known (or previously known) to children’s social care and those who may face other barriers to their learning and/or well-being is ineffective.</w:t>
      </w:r>
    </w:p>
    <w:p w14:paraId="5129C9F1" w14:textId="2BAC1FCE" w:rsidR="00421455" w:rsidRPr="00BA37D9" w:rsidRDefault="009C2724">
      <w:pPr>
        <w:rPr>
          <w:rFonts w:ascii="Arial" w:hAnsi="Arial" w:cs="Arial"/>
          <w:sz w:val="24"/>
          <w:szCs w:val="24"/>
        </w:rPr>
      </w:pPr>
      <w:r w:rsidRPr="00BA37D9">
        <w:rPr>
          <w:rFonts w:ascii="Arial" w:hAnsi="Arial" w:cs="Arial"/>
          <w:b/>
          <w:sz w:val="24"/>
          <w:szCs w:val="24"/>
        </w:rPr>
        <w:t>Purpose of the Role</w:t>
      </w:r>
    </w:p>
    <w:p w14:paraId="4B350921" w14:textId="77777777" w:rsidR="00421455" w:rsidRPr="00BA37D9" w:rsidRDefault="009C2724">
      <w:pPr>
        <w:spacing w:after="80" w:line="264" w:lineRule="auto"/>
        <w:rPr>
          <w:rFonts w:ascii="Arial" w:hAnsi="Arial" w:cs="Arial"/>
          <w:sz w:val="24"/>
          <w:szCs w:val="24"/>
        </w:rPr>
      </w:pPr>
      <w:r w:rsidRPr="00BA37D9">
        <w:rPr>
          <w:rFonts w:ascii="Arial" w:hAnsi="Arial" w:cs="Arial"/>
          <w:sz w:val="24"/>
          <w:szCs w:val="24"/>
        </w:rPr>
        <w:t>The Inclusion Lead is a strategic trust role focused on improving outcomes, attendance, behaviour, participation and inclusion for vulnerable groups across all schools within Embark Federation, spanning both the primary and secondary phases. The post holder will provide trust-wide leadership for inclusion by strengthening evaluation, identifying barriers to success, driving consistent improvement activity and ensuring that leaders act with precision to secure better experiences and outcomes for pupils who are at risk of underachievement, marginalisation or poor engagement.</w:t>
      </w:r>
    </w:p>
    <w:p w14:paraId="4CAC0404" w14:textId="77777777" w:rsidR="00421455" w:rsidRPr="00BA37D9" w:rsidRDefault="009C2724">
      <w:pPr>
        <w:spacing w:after="80" w:line="264" w:lineRule="auto"/>
        <w:rPr>
          <w:rFonts w:ascii="Arial" w:hAnsi="Arial" w:cs="Arial"/>
          <w:sz w:val="24"/>
          <w:szCs w:val="24"/>
        </w:rPr>
      </w:pPr>
      <w:r w:rsidRPr="00BA37D9">
        <w:rPr>
          <w:rFonts w:ascii="Arial" w:hAnsi="Arial" w:cs="Arial"/>
          <w:sz w:val="24"/>
          <w:szCs w:val="24"/>
        </w:rPr>
        <w:t>The role will work across schools to promote high expectations, improve inclusive practice, build leadership capacity and challenge underperformance where this affects the attendance, behaviour, inclusion and achievement of vulnerable pupils. The post holder will lead strategic groups, coordinate trust-wide priorities, work outwardly with relevant partners and ensure that inclusion work translates into measurable impact for children and young people.</w:t>
      </w:r>
    </w:p>
    <w:p w14:paraId="7E22DCCC" w14:textId="77777777" w:rsidR="00421455" w:rsidRPr="00BA37D9" w:rsidRDefault="009C2724">
      <w:pPr>
        <w:spacing w:after="80" w:line="264" w:lineRule="auto"/>
        <w:rPr>
          <w:rFonts w:ascii="Arial" w:hAnsi="Arial" w:cs="Arial"/>
          <w:sz w:val="24"/>
          <w:szCs w:val="24"/>
        </w:rPr>
      </w:pPr>
      <w:r w:rsidRPr="00BA37D9">
        <w:rPr>
          <w:rFonts w:ascii="Arial" w:hAnsi="Arial" w:cs="Arial"/>
          <w:sz w:val="24"/>
          <w:szCs w:val="24"/>
        </w:rPr>
        <w:t>The role will have a defined focus on:</w:t>
      </w:r>
    </w:p>
    <w:p w14:paraId="1A7D8C07"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vulnerable groups across primary and secondary phases, including those at risk of poor attendance, exclusion, underachievement or disengagement</w:t>
      </w:r>
    </w:p>
    <w:p w14:paraId="5D719D37"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attendance and behaviour as key drivers of inclusion, belonging and improved outcomes</w:t>
      </w:r>
    </w:p>
    <w:p w14:paraId="6AA93B6B"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the quality of leadership, systems and provision that support inclusive practice</w:t>
      </w:r>
    </w:p>
    <w:p w14:paraId="79595C0C"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trust-wide strategic groups that shape improvement, build consistency and evaluate impact</w:t>
      </w:r>
    </w:p>
    <w:p w14:paraId="742D32F0"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lastRenderedPageBreak/>
        <w:t>evidence-based challenge, support and accountability for schools where inclusion performance is not strong enough</w:t>
      </w:r>
    </w:p>
    <w:p w14:paraId="050827B0"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outward-facing partnership working that strengthens trust practice and secures improved outcomes for pupils</w:t>
      </w:r>
    </w:p>
    <w:p w14:paraId="29279FEF" w14:textId="77777777" w:rsidR="00826C4E" w:rsidRPr="00BA37D9" w:rsidRDefault="00826C4E" w:rsidP="00826C4E">
      <w:pPr>
        <w:pStyle w:val="ListBullet"/>
        <w:numPr>
          <w:ilvl w:val="0"/>
          <w:numId w:val="0"/>
        </w:numPr>
        <w:spacing w:after="20" w:line="252" w:lineRule="auto"/>
        <w:ind w:left="360"/>
        <w:rPr>
          <w:rFonts w:ascii="Arial" w:hAnsi="Arial" w:cs="Arial"/>
          <w:sz w:val="24"/>
          <w:szCs w:val="24"/>
        </w:rPr>
      </w:pPr>
    </w:p>
    <w:p w14:paraId="56973713" w14:textId="77777777" w:rsidR="00421455" w:rsidRDefault="009C2724">
      <w:pPr>
        <w:spacing w:after="80" w:line="264" w:lineRule="auto"/>
        <w:rPr>
          <w:rFonts w:ascii="Arial" w:hAnsi="Arial" w:cs="Arial"/>
          <w:sz w:val="24"/>
          <w:szCs w:val="24"/>
        </w:rPr>
      </w:pPr>
      <w:r w:rsidRPr="00BA37D9">
        <w:rPr>
          <w:rFonts w:ascii="Arial" w:hAnsi="Arial" w:cs="Arial"/>
          <w:sz w:val="24"/>
          <w:szCs w:val="24"/>
        </w:rPr>
        <w:t>This is a specialist cross-phase inclusion leadership role. It is not a general school improvement post. Its primary purpose is to strengthen inclusion, attendance, behaviour and provision for vulnerable groups across the trust, ensuring that schools evaluate need accurately, implement effective action and secure measurable improvement in pupil outcomes and lived experience.</w:t>
      </w:r>
    </w:p>
    <w:p w14:paraId="62FCCD8E" w14:textId="77777777" w:rsidR="00826C4E" w:rsidRPr="00BA37D9" w:rsidRDefault="00826C4E">
      <w:pPr>
        <w:rPr>
          <w:rFonts w:ascii="Arial" w:hAnsi="Arial" w:cs="Arial"/>
          <w:b/>
          <w:sz w:val="24"/>
          <w:szCs w:val="24"/>
        </w:rPr>
      </w:pPr>
    </w:p>
    <w:p w14:paraId="0228BD7B" w14:textId="702F55D5" w:rsidR="00421455" w:rsidRPr="00BA37D9" w:rsidRDefault="009C2724">
      <w:pPr>
        <w:rPr>
          <w:rFonts w:ascii="Arial" w:hAnsi="Arial" w:cs="Arial"/>
          <w:sz w:val="24"/>
          <w:szCs w:val="24"/>
        </w:rPr>
      </w:pPr>
      <w:r w:rsidRPr="00BA37D9">
        <w:rPr>
          <w:rFonts w:ascii="Arial" w:hAnsi="Arial" w:cs="Arial"/>
          <w:b/>
          <w:sz w:val="24"/>
          <w:szCs w:val="24"/>
        </w:rPr>
        <w:t>Main Duties and Responsibilities</w:t>
      </w:r>
    </w:p>
    <w:p w14:paraId="6FF9C889" w14:textId="77777777" w:rsidR="00421455" w:rsidRPr="00BA37D9" w:rsidRDefault="009C2724">
      <w:pPr>
        <w:rPr>
          <w:rFonts w:ascii="Arial" w:hAnsi="Arial" w:cs="Arial"/>
          <w:sz w:val="24"/>
          <w:szCs w:val="24"/>
        </w:rPr>
      </w:pPr>
      <w:r w:rsidRPr="00BA37D9">
        <w:rPr>
          <w:rFonts w:ascii="Arial" w:hAnsi="Arial" w:cs="Arial"/>
          <w:b/>
          <w:sz w:val="24"/>
          <w:szCs w:val="24"/>
        </w:rPr>
        <w:t>1. Strategic Leadership for Inclusion</w:t>
      </w:r>
    </w:p>
    <w:p w14:paraId="7D251A91" w14:textId="77777777" w:rsidR="00277BD5" w:rsidRDefault="00297DDB" w:rsidP="00297DDB">
      <w:pPr>
        <w:pStyle w:val="ListBullet"/>
        <w:rPr>
          <w:rFonts w:ascii="Arial" w:hAnsi="Arial" w:cs="Arial"/>
          <w:sz w:val="24"/>
          <w:szCs w:val="24"/>
        </w:rPr>
      </w:pPr>
      <w:r w:rsidRPr="00CD4F80">
        <w:rPr>
          <w:rFonts w:ascii="Arial" w:hAnsi="Arial" w:cs="Arial"/>
          <w:sz w:val="24"/>
          <w:szCs w:val="24"/>
        </w:rPr>
        <w:t xml:space="preserve">Lead trust-wide work to improve inclusion, attendance, </w:t>
      </w:r>
      <w:proofErr w:type="spellStart"/>
      <w:r w:rsidRPr="00CD4F80">
        <w:rPr>
          <w:rFonts w:ascii="Arial" w:hAnsi="Arial" w:cs="Arial"/>
          <w:sz w:val="24"/>
          <w:szCs w:val="24"/>
        </w:rPr>
        <w:t>behaviour</w:t>
      </w:r>
      <w:proofErr w:type="spellEnd"/>
      <w:r w:rsidRPr="00CD4F80">
        <w:rPr>
          <w:rFonts w:ascii="Arial" w:hAnsi="Arial" w:cs="Arial"/>
          <w:sz w:val="24"/>
          <w:szCs w:val="24"/>
        </w:rPr>
        <w:t xml:space="preserve"> and outcomes for vulnerable groups, including pupils with SEND. </w:t>
      </w:r>
    </w:p>
    <w:p w14:paraId="1C1902EE" w14:textId="68E39056" w:rsidR="00297DDB" w:rsidRPr="00C97770" w:rsidRDefault="00297DDB" w:rsidP="00297DDB">
      <w:pPr>
        <w:pStyle w:val="ListBullet"/>
        <w:rPr>
          <w:rFonts w:ascii="Arial" w:hAnsi="Arial" w:cs="Arial"/>
          <w:sz w:val="24"/>
          <w:szCs w:val="24"/>
        </w:rPr>
      </w:pPr>
      <w:r w:rsidRPr="00C97770">
        <w:rPr>
          <w:rFonts w:ascii="Arial" w:hAnsi="Arial" w:cs="Arial"/>
          <w:sz w:val="24"/>
          <w:szCs w:val="24"/>
        </w:rPr>
        <w:t xml:space="preserve">Provide strategic leadership and oversight of SEND across the trust, ensuring SEND priorities are fully integrated into wider inclusion, attendance, </w:t>
      </w:r>
      <w:proofErr w:type="spellStart"/>
      <w:r w:rsidRPr="00C97770">
        <w:rPr>
          <w:rFonts w:ascii="Arial" w:hAnsi="Arial" w:cs="Arial"/>
          <w:sz w:val="24"/>
          <w:szCs w:val="24"/>
        </w:rPr>
        <w:t>behaviour</w:t>
      </w:r>
      <w:proofErr w:type="spellEnd"/>
      <w:r w:rsidRPr="00C97770">
        <w:rPr>
          <w:rFonts w:ascii="Arial" w:hAnsi="Arial" w:cs="Arial"/>
          <w:sz w:val="24"/>
          <w:szCs w:val="24"/>
        </w:rPr>
        <w:t xml:space="preserve"> and achievement strategies.</w:t>
      </w:r>
    </w:p>
    <w:p w14:paraId="78E8F1E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Develop and maintain a clear strategic overview of inclusion performance across the trust, identifying patterns, strengths, risks and priorities for action.</w:t>
      </w:r>
    </w:p>
    <w:p w14:paraId="1B94BC9B"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Shape and communicate a coherent trust approach to inclusive practice that aligns with trust priorities, statutory responsibilities and high expectations for all pupils.</w:t>
      </w:r>
    </w:p>
    <w:p w14:paraId="341434B1"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Ensure that inclusion strategy is translated into clear plans, practical action and measurable improvement at school and trust level.</w:t>
      </w:r>
    </w:p>
    <w:p w14:paraId="06362E7D" w14:textId="77777777" w:rsidR="00421455" w:rsidRDefault="009C2724">
      <w:pPr>
        <w:pStyle w:val="ListBullet"/>
        <w:spacing w:after="20" w:line="252" w:lineRule="auto"/>
        <w:rPr>
          <w:rFonts w:ascii="Arial" w:hAnsi="Arial" w:cs="Arial"/>
          <w:sz w:val="24"/>
          <w:szCs w:val="24"/>
        </w:rPr>
      </w:pPr>
      <w:r w:rsidRPr="00BA37D9">
        <w:rPr>
          <w:rFonts w:ascii="Arial" w:hAnsi="Arial" w:cs="Arial"/>
          <w:sz w:val="24"/>
          <w:szCs w:val="24"/>
        </w:rPr>
        <w:t>Act as a visible advocate for vulnerable pupils, promoting a strong moral purpose and a culture of professional accountability.</w:t>
      </w:r>
    </w:p>
    <w:p w14:paraId="14C6EB98" w14:textId="77777777" w:rsidR="002B02A3" w:rsidRPr="00BA37D9" w:rsidRDefault="002B02A3" w:rsidP="00810742">
      <w:pPr>
        <w:pStyle w:val="ListBullet"/>
        <w:numPr>
          <w:ilvl w:val="0"/>
          <w:numId w:val="0"/>
        </w:numPr>
        <w:spacing w:after="20" w:line="252" w:lineRule="auto"/>
        <w:rPr>
          <w:rFonts w:ascii="Arial" w:hAnsi="Arial" w:cs="Arial"/>
          <w:sz w:val="24"/>
          <w:szCs w:val="24"/>
        </w:rPr>
      </w:pPr>
    </w:p>
    <w:p w14:paraId="653B3FCB" w14:textId="77777777" w:rsidR="00826C4E" w:rsidRPr="00BA37D9" w:rsidRDefault="00826C4E">
      <w:pPr>
        <w:rPr>
          <w:rFonts w:ascii="Arial" w:hAnsi="Arial" w:cs="Arial"/>
          <w:b/>
          <w:sz w:val="24"/>
          <w:szCs w:val="24"/>
        </w:rPr>
      </w:pPr>
    </w:p>
    <w:p w14:paraId="67A2301F" w14:textId="5CB9F6BB" w:rsidR="00421455" w:rsidRPr="00BA37D9" w:rsidRDefault="009C2724">
      <w:pPr>
        <w:rPr>
          <w:rFonts w:ascii="Arial" w:hAnsi="Arial" w:cs="Arial"/>
          <w:sz w:val="24"/>
          <w:szCs w:val="24"/>
        </w:rPr>
      </w:pPr>
      <w:r w:rsidRPr="00BA37D9">
        <w:rPr>
          <w:rFonts w:ascii="Arial" w:hAnsi="Arial" w:cs="Arial"/>
          <w:b/>
          <w:sz w:val="24"/>
          <w:szCs w:val="24"/>
        </w:rPr>
        <w:t>2. Vulnerable Groups, Attendance and Behaviour</w:t>
      </w:r>
    </w:p>
    <w:p w14:paraId="541D16BD"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Lead trust-wide improvement activity focused on vulnerable groups, with particular attention to attendance, behaviour, suspension, exclusion risk, participation and pupil outcomes.</w:t>
      </w:r>
    </w:p>
    <w:p w14:paraId="7AFE25B3"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 xml:space="preserve">Support schools to analyse attendance, behaviour, pastoral and outcome information </w:t>
      </w:r>
      <w:proofErr w:type="gramStart"/>
      <w:r w:rsidRPr="00BA37D9">
        <w:rPr>
          <w:rFonts w:ascii="Arial" w:hAnsi="Arial" w:cs="Arial"/>
          <w:sz w:val="24"/>
          <w:szCs w:val="24"/>
        </w:rPr>
        <w:t>in order to</w:t>
      </w:r>
      <w:proofErr w:type="gramEnd"/>
      <w:r w:rsidRPr="00BA37D9">
        <w:rPr>
          <w:rFonts w:ascii="Arial" w:hAnsi="Arial" w:cs="Arial"/>
          <w:sz w:val="24"/>
          <w:szCs w:val="24"/>
        </w:rPr>
        <w:t xml:space="preserve"> identify barriers, target support and evaluate impact.</w:t>
      </w:r>
    </w:p>
    <w:p w14:paraId="02F94A7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Ensure that leaders maintain a precise understanding of the experiences, progress and risks associated with vulnerable groups within their context.</w:t>
      </w:r>
    </w:p>
    <w:p w14:paraId="30A9F286"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Promote consistent, fair and inclusive approaches to attendance and behaviour that improve engagement, belonging, safety and success for pupils.</w:t>
      </w:r>
    </w:p>
    <w:p w14:paraId="02C9C2DF"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Challenge practices that do not secure good enough outcomes for vulnerable pupils and support leaders to implement more effective approaches.</w:t>
      </w:r>
    </w:p>
    <w:p w14:paraId="241A6662" w14:textId="77777777" w:rsidR="00826C4E" w:rsidRDefault="00826C4E">
      <w:pPr>
        <w:rPr>
          <w:rFonts w:ascii="Arial" w:hAnsi="Arial" w:cs="Arial"/>
          <w:b/>
          <w:sz w:val="24"/>
          <w:szCs w:val="24"/>
        </w:rPr>
      </w:pPr>
    </w:p>
    <w:p w14:paraId="31EDA9CE" w14:textId="77777777" w:rsidR="00136ED8" w:rsidRPr="00BA37D9" w:rsidRDefault="00136ED8">
      <w:pPr>
        <w:rPr>
          <w:rFonts w:ascii="Arial" w:hAnsi="Arial" w:cs="Arial"/>
          <w:b/>
          <w:sz w:val="24"/>
          <w:szCs w:val="24"/>
        </w:rPr>
      </w:pPr>
    </w:p>
    <w:p w14:paraId="1145945F" w14:textId="2D0B431C" w:rsidR="00421455" w:rsidRPr="00BA37D9" w:rsidRDefault="009C2724">
      <w:pPr>
        <w:rPr>
          <w:rFonts w:ascii="Arial" w:hAnsi="Arial" w:cs="Arial"/>
          <w:sz w:val="24"/>
          <w:szCs w:val="24"/>
        </w:rPr>
      </w:pPr>
      <w:r w:rsidRPr="00BA37D9">
        <w:rPr>
          <w:rFonts w:ascii="Arial" w:hAnsi="Arial" w:cs="Arial"/>
          <w:b/>
          <w:sz w:val="24"/>
          <w:szCs w:val="24"/>
        </w:rPr>
        <w:lastRenderedPageBreak/>
        <w:t>3. Evaluation, Review and Risk Identification</w:t>
      </w:r>
    </w:p>
    <w:p w14:paraId="3559AC33"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Lead inclusion-focused review activity across schools, ensuring evaluation is accurate, evidence-based and sharply focused on impact.</w:t>
      </w:r>
    </w:p>
    <w:p w14:paraId="4C2FE709"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Work with headteachers and senior leaders to evaluate school performance in relation to inclusion, attendance, behaviour, achievement and leadership effectiveness.</w:t>
      </w:r>
    </w:p>
    <w:p w14:paraId="64BF1B2F"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Identify school-level and trust-level risks, including emerging patterns of underperformance, inequity or inconsistency in provision.</w:t>
      </w:r>
    </w:p>
    <w:p w14:paraId="1282CEE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Ensure review findings lead to clear next steps, strong follow-up and disciplined monitoring of improvement over time.</w:t>
      </w:r>
    </w:p>
    <w:p w14:paraId="3F47BB1F"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Support schools to develop self-evaluation that is honest, coherent and aligned to current inspection expectations and trust priorities.</w:t>
      </w:r>
    </w:p>
    <w:p w14:paraId="4B497929" w14:textId="77777777" w:rsidR="00826C4E" w:rsidRPr="00BA37D9" w:rsidRDefault="00826C4E">
      <w:pPr>
        <w:rPr>
          <w:rFonts w:ascii="Arial" w:hAnsi="Arial" w:cs="Arial"/>
          <w:b/>
          <w:sz w:val="24"/>
          <w:szCs w:val="24"/>
        </w:rPr>
      </w:pPr>
    </w:p>
    <w:p w14:paraId="3DE27A3D" w14:textId="14097E93" w:rsidR="00421455" w:rsidRPr="00BA37D9" w:rsidRDefault="009C2724">
      <w:pPr>
        <w:rPr>
          <w:rFonts w:ascii="Arial" w:hAnsi="Arial" w:cs="Arial"/>
          <w:sz w:val="24"/>
          <w:szCs w:val="24"/>
        </w:rPr>
      </w:pPr>
      <w:r w:rsidRPr="00BA37D9">
        <w:rPr>
          <w:rFonts w:ascii="Arial" w:hAnsi="Arial" w:cs="Arial"/>
          <w:b/>
          <w:sz w:val="24"/>
          <w:szCs w:val="24"/>
        </w:rPr>
        <w:t>4. Strategic Groups and Leadership Capacity</w:t>
      </w:r>
    </w:p>
    <w:p w14:paraId="3478582B"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Lead and coordinate strategic groups, networks or working parties that drive improvement in inclusion, attendance, behaviour and provision for vulnerable groups.</w:t>
      </w:r>
    </w:p>
    <w:p w14:paraId="07DB339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Ensure these groups have clear priorities, defined success measures and a disciplined focus on implementation and impact.</w:t>
      </w:r>
    </w:p>
    <w:p w14:paraId="7F5672F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Facilitate professional collaboration between schools so that strong practice is shared, adapted and evaluated effectively.</w:t>
      </w:r>
    </w:p>
    <w:p w14:paraId="3284F1B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Develop leadership capacity at all levels by coaching leaders, supporting problem-solving and strengthening accountability for inclusive practice.</w:t>
      </w:r>
    </w:p>
    <w:p w14:paraId="313951FF"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Promote a culture in which leaders understand both their statutory responsibilities and their practical responsibilities for inclusion.</w:t>
      </w:r>
    </w:p>
    <w:p w14:paraId="7A431E4E" w14:textId="77777777" w:rsidR="00826C4E" w:rsidRPr="00BA37D9" w:rsidRDefault="00826C4E">
      <w:pPr>
        <w:rPr>
          <w:rFonts w:ascii="Arial" w:hAnsi="Arial" w:cs="Arial"/>
          <w:b/>
          <w:sz w:val="24"/>
          <w:szCs w:val="24"/>
        </w:rPr>
      </w:pPr>
    </w:p>
    <w:p w14:paraId="7F0B61AC" w14:textId="23D695F2" w:rsidR="00421455" w:rsidRPr="00BA37D9" w:rsidRDefault="009C2724">
      <w:pPr>
        <w:rPr>
          <w:rFonts w:ascii="Arial" w:hAnsi="Arial" w:cs="Arial"/>
          <w:sz w:val="24"/>
          <w:szCs w:val="24"/>
        </w:rPr>
      </w:pPr>
      <w:r w:rsidRPr="00BA37D9">
        <w:rPr>
          <w:rFonts w:ascii="Arial" w:hAnsi="Arial" w:cs="Arial"/>
          <w:b/>
          <w:sz w:val="24"/>
          <w:szCs w:val="24"/>
        </w:rPr>
        <w:t>5. School Support, Challenge and Accountability</w:t>
      </w:r>
    </w:p>
    <w:p w14:paraId="72AF12F8"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Provide professional challenge and support to headteachers, senior leaders and relevant middle leaders in relation to inclusion priorities and vulnerable pupil outcomes.</w:t>
      </w:r>
    </w:p>
    <w:p w14:paraId="4177AE4D" w14:textId="5F8B881D"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 xml:space="preserve">Undertake focused visits, reviews and follow-up work according to need, ensuring support is proportionate, precise and </w:t>
      </w:r>
      <w:r w:rsidR="008031BB" w:rsidRPr="00BA37D9">
        <w:rPr>
          <w:rFonts w:ascii="Arial" w:hAnsi="Arial" w:cs="Arial"/>
          <w:sz w:val="24"/>
          <w:szCs w:val="24"/>
        </w:rPr>
        <w:t>improvement focused</w:t>
      </w:r>
      <w:r w:rsidRPr="00BA37D9">
        <w:rPr>
          <w:rFonts w:ascii="Arial" w:hAnsi="Arial" w:cs="Arial"/>
          <w:sz w:val="24"/>
          <w:szCs w:val="24"/>
        </w:rPr>
        <w:t>.</w:t>
      </w:r>
    </w:p>
    <w:p w14:paraId="2766A3B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Challenge underperformance robustly and constructively where outcomes, attendance, behaviour or provision for vulnerable groups are not good enough.</w:t>
      </w:r>
    </w:p>
    <w:p w14:paraId="27A3012A"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Support leaders to translate evaluation into realistic, measurable improvement priorities and to review progress against those priorities over time.</w:t>
      </w:r>
    </w:p>
    <w:p w14:paraId="33707AC1"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Contribute to a strong culture of accountability in which schools are both supported and expected to secure improvement.</w:t>
      </w:r>
    </w:p>
    <w:p w14:paraId="0BDB34D5" w14:textId="77777777" w:rsidR="00826C4E" w:rsidRPr="00BA37D9" w:rsidRDefault="00826C4E">
      <w:pPr>
        <w:rPr>
          <w:rFonts w:ascii="Arial" w:hAnsi="Arial" w:cs="Arial"/>
          <w:b/>
          <w:sz w:val="24"/>
          <w:szCs w:val="24"/>
        </w:rPr>
      </w:pPr>
    </w:p>
    <w:p w14:paraId="7D22176D" w14:textId="7BEE9BC8" w:rsidR="00421455" w:rsidRPr="00BA37D9" w:rsidRDefault="009C2724">
      <w:pPr>
        <w:rPr>
          <w:rFonts w:ascii="Arial" w:hAnsi="Arial" w:cs="Arial"/>
          <w:sz w:val="24"/>
          <w:szCs w:val="24"/>
        </w:rPr>
      </w:pPr>
      <w:r w:rsidRPr="00BA37D9">
        <w:rPr>
          <w:rFonts w:ascii="Arial" w:hAnsi="Arial" w:cs="Arial"/>
          <w:b/>
          <w:sz w:val="24"/>
          <w:szCs w:val="24"/>
        </w:rPr>
        <w:t>6. Outward-Facing Partnership Working</w:t>
      </w:r>
    </w:p>
    <w:p w14:paraId="1FE99E38"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Work outwardly with schools, partners, agencies and relevant stakeholders to strengthen trust practice and improve support for vulnerable pupils.</w:t>
      </w:r>
    </w:p>
    <w:p w14:paraId="60679A4A"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Build constructive relationships with external professionals and organisations where this helps schools secure better outcomes, stronger systems or improved inclusion practice.</w:t>
      </w:r>
    </w:p>
    <w:p w14:paraId="019701D2"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lastRenderedPageBreak/>
        <w:t>Represent the trust professionally in relevant inclusion, attendance and behaviour forums, networks and partnerships.</w:t>
      </w:r>
    </w:p>
    <w:p w14:paraId="192D8F36"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Remain informed about local and national developments in inclusion, attendance, behaviour and vulnerable learner support, translating these into practical trust improvement work.</w:t>
      </w:r>
    </w:p>
    <w:p w14:paraId="03DBCDC2"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Use outward-facing work to strengthen the trust’s reputation, influence and capacity to secure sustainable improvement.</w:t>
      </w:r>
    </w:p>
    <w:p w14:paraId="08573441" w14:textId="77777777" w:rsidR="00826C4E" w:rsidRPr="00BA37D9" w:rsidRDefault="00826C4E">
      <w:pPr>
        <w:rPr>
          <w:rFonts w:ascii="Arial" w:hAnsi="Arial" w:cs="Arial"/>
          <w:b/>
          <w:sz w:val="24"/>
          <w:szCs w:val="24"/>
        </w:rPr>
      </w:pPr>
    </w:p>
    <w:p w14:paraId="227140DD" w14:textId="73867584" w:rsidR="00421455" w:rsidRPr="00BA37D9" w:rsidRDefault="009C2724">
      <w:pPr>
        <w:rPr>
          <w:rFonts w:ascii="Arial" w:hAnsi="Arial" w:cs="Arial"/>
          <w:sz w:val="24"/>
          <w:szCs w:val="24"/>
        </w:rPr>
      </w:pPr>
      <w:r w:rsidRPr="00BA37D9">
        <w:rPr>
          <w:rFonts w:ascii="Arial" w:hAnsi="Arial" w:cs="Arial"/>
          <w:b/>
          <w:sz w:val="24"/>
          <w:szCs w:val="24"/>
        </w:rPr>
        <w:t>7. Monitoring, Reporting and Improvement Planning</w:t>
      </w:r>
    </w:p>
    <w:p w14:paraId="6DD23503"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Maintain accurate oversight of inclusion-related priorities, actions, risks and impact across the trust.</w:t>
      </w:r>
    </w:p>
    <w:p w14:paraId="3448AAAA"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Provide clear written and verbal feedback to leaders on strengths, concerns, progress and next steps.</w:t>
      </w:r>
    </w:p>
    <w:p w14:paraId="62C813A6"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Contribute to trust reporting on inclusion, attendance, behaviour and vulnerable group outcomes for senior leaders, trustees and other stakeholders as required.</w:t>
      </w:r>
    </w:p>
    <w:p w14:paraId="30A6A39E"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Develop and support consistent approaches to improvement planning, monitoring and review so that leaders are well informed and able to act promptly.</w:t>
      </w:r>
    </w:p>
    <w:p w14:paraId="03DFB5D9"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Ensure reporting and monitoring arrangements support timely decision-making and a disciplined focus on measurable impact.</w:t>
      </w:r>
    </w:p>
    <w:p w14:paraId="017A1DCA" w14:textId="77777777" w:rsidR="00826C4E" w:rsidRPr="00BA37D9" w:rsidRDefault="00826C4E">
      <w:pPr>
        <w:rPr>
          <w:rFonts w:ascii="Arial" w:hAnsi="Arial" w:cs="Arial"/>
          <w:b/>
          <w:sz w:val="24"/>
          <w:szCs w:val="24"/>
        </w:rPr>
      </w:pPr>
    </w:p>
    <w:p w14:paraId="38500A51" w14:textId="147C594A" w:rsidR="00421455" w:rsidRPr="00BA37D9" w:rsidRDefault="009C2724">
      <w:pPr>
        <w:rPr>
          <w:rFonts w:ascii="Arial" w:hAnsi="Arial" w:cs="Arial"/>
          <w:sz w:val="24"/>
          <w:szCs w:val="24"/>
        </w:rPr>
      </w:pPr>
      <w:r w:rsidRPr="00BA37D9">
        <w:rPr>
          <w:rFonts w:ascii="Arial" w:hAnsi="Arial" w:cs="Arial"/>
          <w:b/>
          <w:sz w:val="24"/>
          <w:szCs w:val="24"/>
        </w:rPr>
        <w:t>8. Strategic Contribution to Trust Priorities</w:t>
      </w:r>
    </w:p>
    <w:p w14:paraId="71A8A003"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Contribute to the wider development of trust policy, systems and improvement activity where inclusion, attendance, behaviour and vulnerable pupil outcomes are concerned.</w:t>
      </w:r>
    </w:p>
    <w:p w14:paraId="6D0F841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Support alignment between inclusion work and other trust priorities, including curriculum, safeguarding, SEND, personal development and school improvement.</w:t>
      </w:r>
    </w:p>
    <w:p w14:paraId="074AF02D"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Provide informed professional input at trust meetings and events as required.</w:t>
      </w:r>
    </w:p>
    <w:p w14:paraId="60EC9A07"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Contribute to the design of sustainable systems that improve consistency and strengthen provision across both phases.</w:t>
      </w:r>
    </w:p>
    <w:p w14:paraId="6FDDFAC5"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Undertake any other duties commensurate with the nature and level of the post.</w:t>
      </w:r>
    </w:p>
    <w:p w14:paraId="4DBB6868" w14:textId="77777777" w:rsidR="00826C4E" w:rsidRPr="00BA37D9" w:rsidRDefault="00826C4E">
      <w:pPr>
        <w:rPr>
          <w:rFonts w:ascii="Arial" w:hAnsi="Arial" w:cs="Arial"/>
          <w:b/>
          <w:sz w:val="24"/>
          <w:szCs w:val="24"/>
        </w:rPr>
      </w:pPr>
    </w:p>
    <w:p w14:paraId="31EA5DEA" w14:textId="44D580CF" w:rsidR="00421455" w:rsidRPr="00C97770" w:rsidRDefault="009C2724">
      <w:pPr>
        <w:rPr>
          <w:rFonts w:ascii="Arial" w:hAnsi="Arial" w:cs="Arial"/>
          <w:sz w:val="24"/>
          <w:szCs w:val="24"/>
        </w:rPr>
      </w:pPr>
      <w:r w:rsidRPr="00C97770">
        <w:rPr>
          <w:rFonts w:ascii="Arial" w:hAnsi="Arial" w:cs="Arial"/>
          <w:b/>
          <w:sz w:val="24"/>
          <w:szCs w:val="24"/>
        </w:rPr>
        <w:t>Key Accountabilities</w:t>
      </w:r>
    </w:p>
    <w:p w14:paraId="0721A7B6" w14:textId="77777777" w:rsidR="00421455" w:rsidRPr="00C97770" w:rsidRDefault="009C2724">
      <w:pPr>
        <w:pStyle w:val="ListBullet"/>
        <w:spacing w:after="20" w:line="252" w:lineRule="auto"/>
        <w:rPr>
          <w:rFonts w:ascii="Arial" w:hAnsi="Arial" w:cs="Arial"/>
          <w:sz w:val="24"/>
          <w:szCs w:val="24"/>
        </w:rPr>
      </w:pPr>
      <w:r w:rsidRPr="00C97770">
        <w:rPr>
          <w:rFonts w:ascii="Arial" w:hAnsi="Arial" w:cs="Arial"/>
          <w:sz w:val="24"/>
          <w:szCs w:val="24"/>
        </w:rPr>
        <w:t>the quality and impact of the trust’s inclusion strategy across primary and secondary phases</w:t>
      </w:r>
    </w:p>
    <w:p w14:paraId="312BB275" w14:textId="77777777" w:rsidR="00421455" w:rsidRPr="00C97770" w:rsidRDefault="009C2724">
      <w:pPr>
        <w:pStyle w:val="ListBullet"/>
        <w:spacing w:after="20" w:line="252" w:lineRule="auto"/>
        <w:rPr>
          <w:rFonts w:ascii="Arial" w:hAnsi="Arial" w:cs="Arial"/>
          <w:sz w:val="24"/>
          <w:szCs w:val="24"/>
        </w:rPr>
      </w:pPr>
      <w:r w:rsidRPr="00C97770">
        <w:rPr>
          <w:rFonts w:ascii="Arial" w:hAnsi="Arial" w:cs="Arial"/>
          <w:sz w:val="24"/>
          <w:szCs w:val="24"/>
        </w:rPr>
        <w:t>improving attendance, behaviour and outcomes for vulnerable groups</w:t>
      </w:r>
    </w:p>
    <w:p w14:paraId="7469F4F6" w14:textId="77777777" w:rsidR="00421455" w:rsidRPr="00C97770" w:rsidRDefault="009C2724">
      <w:pPr>
        <w:pStyle w:val="ListBullet"/>
        <w:spacing w:after="20" w:line="252" w:lineRule="auto"/>
        <w:rPr>
          <w:rFonts w:ascii="Arial" w:hAnsi="Arial" w:cs="Arial"/>
          <w:sz w:val="24"/>
          <w:szCs w:val="24"/>
        </w:rPr>
      </w:pPr>
      <w:r w:rsidRPr="00C97770">
        <w:rPr>
          <w:rFonts w:ascii="Arial" w:hAnsi="Arial" w:cs="Arial"/>
          <w:sz w:val="24"/>
          <w:szCs w:val="24"/>
        </w:rPr>
        <w:t>the accuracy of inclusion evaluation and the identification of risk, need and priorities</w:t>
      </w:r>
    </w:p>
    <w:p w14:paraId="1FE785FE" w14:textId="77777777" w:rsidR="00421455" w:rsidRPr="00C97770" w:rsidRDefault="009C2724">
      <w:pPr>
        <w:pStyle w:val="ListBullet"/>
        <w:spacing w:after="20" w:line="252" w:lineRule="auto"/>
        <w:rPr>
          <w:rFonts w:ascii="Arial" w:hAnsi="Arial" w:cs="Arial"/>
          <w:sz w:val="24"/>
          <w:szCs w:val="24"/>
        </w:rPr>
      </w:pPr>
      <w:r w:rsidRPr="00C97770">
        <w:rPr>
          <w:rFonts w:ascii="Arial" w:hAnsi="Arial" w:cs="Arial"/>
          <w:sz w:val="24"/>
          <w:szCs w:val="24"/>
        </w:rPr>
        <w:t>the effectiveness of strategic groups and collaborative improvement activity</w:t>
      </w:r>
    </w:p>
    <w:p w14:paraId="100C283C" w14:textId="77777777" w:rsidR="00421455" w:rsidRPr="00C97770" w:rsidRDefault="009C2724">
      <w:pPr>
        <w:pStyle w:val="ListBullet"/>
        <w:spacing w:after="20" w:line="252" w:lineRule="auto"/>
        <w:rPr>
          <w:rFonts w:ascii="Arial" w:hAnsi="Arial" w:cs="Arial"/>
          <w:sz w:val="24"/>
          <w:szCs w:val="24"/>
        </w:rPr>
      </w:pPr>
      <w:r w:rsidRPr="00C97770">
        <w:rPr>
          <w:rFonts w:ascii="Arial" w:hAnsi="Arial" w:cs="Arial"/>
          <w:sz w:val="24"/>
          <w:szCs w:val="24"/>
        </w:rPr>
        <w:t>the quality of support, challenge and accountability provided to schools</w:t>
      </w:r>
    </w:p>
    <w:p w14:paraId="3D7039CC" w14:textId="77777777" w:rsidR="00421455" w:rsidRPr="00C97770" w:rsidRDefault="009C2724">
      <w:pPr>
        <w:pStyle w:val="ListBullet"/>
        <w:spacing w:after="20" w:line="252" w:lineRule="auto"/>
        <w:rPr>
          <w:rFonts w:ascii="Arial" w:hAnsi="Arial" w:cs="Arial"/>
          <w:sz w:val="24"/>
          <w:szCs w:val="24"/>
        </w:rPr>
      </w:pPr>
      <w:r w:rsidRPr="00C97770">
        <w:rPr>
          <w:rFonts w:ascii="Arial" w:hAnsi="Arial" w:cs="Arial"/>
          <w:sz w:val="24"/>
          <w:szCs w:val="24"/>
        </w:rPr>
        <w:t>the strength of trust-wide systems for monitoring, reporting and reviewing inclusion impact</w:t>
      </w:r>
    </w:p>
    <w:p w14:paraId="15662333" w14:textId="77777777" w:rsidR="00421455" w:rsidRPr="00C97770" w:rsidRDefault="009C2724">
      <w:pPr>
        <w:pStyle w:val="ListBullet"/>
        <w:spacing w:after="20" w:line="252" w:lineRule="auto"/>
        <w:rPr>
          <w:rFonts w:ascii="Arial" w:hAnsi="Arial" w:cs="Arial"/>
          <w:sz w:val="24"/>
          <w:szCs w:val="24"/>
        </w:rPr>
      </w:pPr>
      <w:r w:rsidRPr="00C97770">
        <w:rPr>
          <w:rFonts w:ascii="Arial" w:hAnsi="Arial" w:cs="Arial"/>
          <w:sz w:val="24"/>
          <w:szCs w:val="24"/>
        </w:rPr>
        <w:t>building leadership confidence and capacity in relation to inclusive practice</w:t>
      </w:r>
    </w:p>
    <w:p w14:paraId="27AC0E46" w14:textId="77777777" w:rsidR="00826C4E" w:rsidRDefault="00826C4E">
      <w:pPr>
        <w:rPr>
          <w:rFonts w:ascii="Arial" w:hAnsi="Arial" w:cs="Arial"/>
          <w:b/>
          <w:sz w:val="24"/>
          <w:szCs w:val="24"/>
        </w:rPr>
      </w:pPr>
    </w:p>
    <w:p w14:paraId="3395771D" w14:textId="77777777" w:rsidR="00136ED8" w:rsidRPr="00BA37D9" w:rsidRDefault="00136ED8">
      <w:pPr>
        <w:rPr>
          <w:rFonts w:ascii="Arial" w:hAnsi="Arial" w:cs="Arial"/>
          <w:b/>
          <w:sz w:val="24"/>
          <w:szCs w:val="24"/>
        </w:rPr>
      </w:pPr>
    </w:p>
    <w:p w14:paraId="0A611813" w14:textId="29A12F9B" w:rsidR="00421455" w:rsidRPr="00BA37D9" w:rsidRDefault="009C2724">
      <w:pPr>
        <w:rPr>
          <w:rFonts w:ascii="Arial" w:hAnsi="Arial" w:cs="Arial"/>
          <w:sz w:val="24"/>
          <w:szCs w:val="24"/>
        </w:rPr>
      </w:pPr>
      <w:r w:rsidRPr="00BA37D9">
        <w:rPr>
          <w:rFonts w:ascii="Arial" w:hAnsi="Arial" w:cs="Arial"/>
          <w:b/>
          <w:sz w:val="24"/>
          <w:szCs w:val="24"/>
        </w:rPr>
        <w:lastRenderedPageBreak/>
        <w:t>Professional Responsibilities</w:t>
      </w:r>
    </w:p>
    <w:p w14:paraId="49E53B63"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Uphold and promote the values, ethos and vision of Embark Federation.</w:t>
      </w:r>
    </w:p>
    <w:p w14:paraId="7A241E6D"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Work collaboratively with colleagues across schools and central teams.</w:t>
      </w:r>
    </w:p>
    <w:p w14:paraId="56B03727"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Demonstrate a commitment to continuous professional development and evidence-informed practice.</w:t>
      </w:r>
    </w:p>
    <w:p w14:paraId="4140C13D"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Maintain high professional standards in all aspects of the role.</w:t>
      </w:r>
    </w:p>
    <w:p w14:paraId="6C42147A"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Work flexibly in response to trust priorities and school need.</w:t>
      </w:r>
    </w:p>
    <w:p w14:paraId="3E188BEC"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Carry out duties with due regard to safeguarding, equality, confidentiality and data protection responsibilities.</w:t>
      </w:r>
    </w:p>
    <w:p w14:paraId="20F3D4E5" w14:textId="77777777" w:rsidR="00442D72" w:rsidRPr="00BA37D9" w:rsidRDefault="00442D72">
      <w:pPr>
        <w:rPr>
          <w:rFonts w:ascii="Arial" w:hAnsi="Arial" w:cs="Arial"/>
          <w:b/>
          <w:sz w:val="24"/>
          <w:szCs w:val="24"/>
        </w:rPr>
      </w:pPr>
      <w:r w:rsidRPr="00BA37D9">
        <w:rPr>
          <w:rFonts w:ascii="Arial" w:hAnsi="Arial" w:cs="Arial"/>
          <w:b/>
          <w:sz w:val="24"/>
          <w:szCs w:val="24"/>
        </w:rPr>
        <w:br w:type="page"/>
      </w:r>
    </w:p>
    <w:p w14:paraId="4EBCC376" w14:textId="3014970F" w:rsidR="00421455" w:rsidRPr="00BA37D9" w:rsidRDefault="009C2724">
      <w:pPr>
        <w:rPr>
          <w:rFonts w:ascii="Arial" w:hAnsi="Arial" w:cs="Arial"/>
          <w:sz w:val="24"/>
          <w:szCs w:val="24"/>
        </w:rPr>
      </w:pPr>
      <w:r w:rsidRPr="00BA37D9">
        <w:rPr>
          <w:rFonts w:ascii="Arial" w:hAnsi="Arial" w:cs="Arial"/>
          <w:b/>
          <w:sz w:val="24"/>
          <w:szCs w:val="24"/>
        </w:rPr>
        <w:lastRenderedPageBreak/>
        <w:t>Person Specification</w:t>
      </w:r>
    </w:p>
    <w:p w14:paraId="3AA360D5" w14:textId="77777777" w:rsidR="00421455" w:rsidRPr="00BA37D9" w:rsidRDefault="009C2724">
      <w:pPr>
        <w:rPr>
          <w:rFonts w:ascii="Arial" w:hAnsi="Arial" w:cs="Arial"/>
          <w:sz w:val="24"/>
          <w:szCs w:val="24"/>
        </w:rPr>
      </w:pPr>
      <w:r w:rsidRPr="00BA37D9">
        <w:rPr>
          <w:rFonts w:ascii="Arial" w:hAnsi="Arial" w:cs="Arial"/>
          <w:b/>
          <w:sz w:val="24"/>
          <w:szCs w:val="24"/>
        </w:rPr>
        <w:t>Essential</w:t>
      </w:r>
    </w:p>
    <w:p w14:paraId="28C6927D"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Significant experience of leadership in inclusion, attendance, behaviour, pastoral or school improvement work.</w:t>
      </w:r>
    </w:p>
    <w:p w14:paraId="64EE8758"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Strong understanding of effective practice in relation to vulnerable groups across primary and/or secondary education.</w:t>
      </w:r>
    </w:p>
    <w:p w14:paraId="2DCB352E"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Strong understanding of how attendance, behaviour, inclusion and outcomes interact.</w:t>
      </w:r>
    </w:p>
    <w:p w14:paraId="67C3E300"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Ability to analyse a wide range of performance and contextual information and translate findings into effective action.</w:t>
      </w:r>
    </w:p>
    <w:p w14:paraId="60E8672A"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Experience of leading, influencing or supporting improvement across more than one team, phase or school.</w:t>
      </w:r>
    </w:p>
    <w:p w14:paraId="4ECAB33D"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Ability to provide constructive challenge and support to senior leaders and headteachers.</w:t>
      </w:r>
    </w:p>
    <w:p w14:paraId="514B0419"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Strong written and verbal communication skills, including the ability to produce clear reports and feedback.</w:t>
      </w:r>
    </w:p>
    <w:p w14:paraId="45E92439"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Strong organisational skills and the ability to manage a varied strategic workload effectively.</w:t>
      </w:r>
    </w:p>
    <w:p w14:paraId="1C1F8330"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A clear commitment to equity, inclusion and securing the best possible outcomes for children and young people.</w:t>
      </w:r>
    </w:p>
    <w:p w14:paraId="04EF0403" w14:textId="77777777" w:rsidR="00826C4E" w:rsidRPr="00BA37D9" w:rsidRDefault="00826C4E">
      <w:pPr>
        <w:rPr>
          <w:rFonts w:ascii="Arial" w:hAnsi="Arial" w:cs="Arial"/>
          <w:b/>
          <w:sz w:val="24"/>
          <w:szCs w:val="24"/>
        </w:rPr>
      </w:pPr>
    </w:p>
    <w:p w14:paraId="7FF8922A" w14:textId="0EAC596B" w:rsidR="00421455" w:rsidRPr="00BA37D9" w:rsidRDefault="009C2724">
      <w:pPr>
        <w:rPr>
          <w:rFonts w:ascii="Arial" w:hAnsi="Arial" w:cs="Arial"/>
          <w:sz w:val="24"/>
          <w:szCs w:val="24"/>
        </w:rPr>
      </w:pPr>
      <w:r w:rsidRPr="00BA37D9">
        <w:rPr>
          <w:rFonts w:ascii="Arial" w:hAnsi="Arial" w:cs="Arial"/>
          <w:b/>
          <w:sz w:val="24"/>
          <w:szCs w:val="24"/>
        </w:rPr>
        <w:t>Desirable</w:t>
      </w:r>
    </w:p>
    <w:p w14:paraId="7E0C4B4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Experience of working across both primary and secondary phases.</w:t>
      </w:r>
    </w:p>
    <w:p w14:paraId="38B07334"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Experience of trust-wide improvement work or cross-school leadership.</w:t>
      </w:r>
    </w:p>
    <w:p w14:paraId="64406356"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Experience of leading strategic groups, networks or improvement forums.</w:t>
      </w:r>
    </w:p>
    <w:p w14:paraId="152FC518"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Knowledge of current national developments relating to inclusion, attendance, behaviour and inspection.</w:t>
      </w:r>
    </w:p>
    <w:p w14:paraId="64A8DDF1"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Experience of partnership working with external agencies, local authority services or wider education networks.</w:t>
      </w:r>
    </w:p>
    <w:p w14:paraId="3D57578B" w14:textId="77777777" w:rsidR="00421455" w:rsidRPr="00BA37D9" w:rsidRDefault="009C2724">
      <w:pPr>
        <w:pStyle w:val="ListBullet"/>
        <w:spacing w:after="20" w:line="252" w:lineRule="auto"/>
        <w:rPr>
          <w:rFonts w:ascii="Arial" w:hAnsi="Arial" w:cs="Arial"/>
          <w:sz w:val="24"/>
          <w:szCs w:val="24"/>
        </w:rPr>
      </w:pPr>
      <w:r w:rsidRPr="00BA37D9">
        <w:rPr>
          <w:rFonts w:ascii="Arial" w:hAnsi="Arial" w:cs="Arial"/>
          <w:sz w:val="24"/>
          <w:szCs w:val="24"/>
        </w:rPr>
        <w:t>Experience of supporting leaders to strengthen self-evaluation and improvement planning.</w:t>
      </w:r>
    </w:p>
    <w:p w14:paraId="36C94037" w14:textId="77777777" w:rsidR="00826C4E" w:rsidRPr="00BA37D9" w:rsidRDefault="00826C4E">
      <w:pPr>
        <w:rPr>
          <w:rFonts w:ascii="Arial" w:hAnsi="Arial" w:cs="Arial"/>
          <w:b/>
          <w:sz w:val="24"/>
          <w:szCs w:val="24"/>
        </w:rPr>
      </w:pPr>
    </w:p>
    <w:p w14:paraId="5AC64609" w14:textId="6079AC06" w:rsidR="00421455" w:rsidRPr="00C97770" w:rsidRDefault="009C2724">
      <w:pPr>
        <w:rPr>
          <w:rFonts w:ascii="Arial" w:hAnsi="Arial" w:cs="Arial"/>
          <w:sz w:val="24"/>
          <w:szCs w:val="24"/>
        </w:rPr>
      </w:pPr>
      <w:r w:rsidRPr="00C97770">
        <w:rPr>
          <w:rFonts w:ascii="Arial" w:hAnsi="Arial" w:cs="Arial"/>
          <w:b/>
          <w:sz w:val="24"/>
          <w:szCs w:val="24"/>
        </w:rPr>
        <w:t>Cross-reference to Current Ofsted Areas</w:t>
      </w:r>
    </w:p>
    <w:p w14:paraId="0379BF9C" w14:textId="77777777" w:rsidR="00421455" w:rsidRPr="00BA37D9" w:rsidRDefault="009C2724">
      <w:pPr>
        <w:spacing w:after="80" w:line="264" w:lineRule="auto"/>
        <w:rPr>
          <w:rFonts w:ascii="Arial" w:hAnsi="Arial" w:cs="Arial"/>
          <w:sz w:val="24"/>
          <w:szCs w:val="24"/>
        </w:rPr>
      </w:pPr>
      <w:r w:rsidRPr="00C97770">
        <w:rPr>
          <w:rFonts w:ascii="Arial" w:hAnsi="Arial" w:cs="Arial"/>
          <w:sz w:val="24"/>
          <w:szCs w:val="24"/>
        </w:rPr>
        <w:t>This draft has been written so that the scope of the role aligns well with current school inspection expectations, particularly the evaluation areas relating to inclusion, attendance and behaviour, achievement, personal development and well-being, and leadership and governance. This is intended to help position the role clearly within current national expectations while keeping the emphasis on trust priorities and measurable pupil impact.</w:t>
      </w:r>
    </w:p>
    <w:p w14:paraId="6B4687AD" w14:textId="77777777" w:rsidR="00826C4E" w:rsidRPr="00BA37D9" w:rsidRDefault="00826C4E">
      <w:pPr>
        <w:rPr>
          <w:rFonts w:ascii="Arial" w:hAnsi="Arial" w:cs="Arial"/>
          <w:b/>
          <w:sz w:val="24"/>
          <w:szCs w:val="24"/>
        </w:rPr>
      </w:pPr>
    </w:p>
    <w:p w14:paraId="70B86C35" w14:textId="61B1563F" w:rsidR="00421455" w:rsidRPr="00BA37D9" w:rsidRDefault="009C2724">
      <w:pPr>
        <w:rPr>
          <w:rFonts w:ascii="Arial" w:hAnsi="Arial" w:cs="Arial"/>
          <w:sz w:val="24"/>
          <w:szCs w:val="24"/>
        </w:rPr>
      </w:pPr>
      <w:r w:rsidRPr="00BA37D9">
        <w:rPr>
          <w:rFonts w:ascii="Arial" w:hAnsi="Arial" w:cs="Arial"/>
          <w:b/>
          <w:sz w:val="24"/>
          <w:szCs w:val="24"/>
        </w:rPr>
        <w:t>Safeguarding Statement</w:t>
      </w:r>
    </w:p>
    <w:p w14:paraId="6E1C115B" w14:textId="77777777" w:rsidR="00421455" w:rsidRPr="00BA37D9" w:rsidRDefault="009C2724">
      <w:pPr>
        <w:spacing w:after="80" w:line="264" w:lineRule="auto"/>
        <w:rPr>
          <w:rFonts w:ascii="Arial" w:hAnsi="Arial" w:cs="Arial"/>
          <w:sz w:val="24"/>
          <w:szCs w:val="24"/>
        </w:rPr>
      </w:pPr>
      <w:r w:rsidRPr="00BA37D9">
        <w:rPr>
          <w:rFonts w:ascii="Arial" w:hAnsi="Arial" w:cs="Arial"/>
          <w:sz w:val="24"/>
          <w:szCs w:val="24"/>
        </w:rPr>
        <w:t xml:space="preserve">Embark Federation is committed to safeguarding and promoting the welfare of children and young people and expects all staff and volunteers to share this commitment. The post holder </w:t>
      </w:r>
      <w:r w:rsidRPr="00BA37D9">
        <w:rPr>
          <w:rFonts w:ascii="Arial" w:hAnsi="Arial" w:cs="Arial"/>
          <w:sz w:val="24"/>
          <w:szCs w:val="24"/>
        </w:rPr>
        <w:lastRenderedPageBreak/>
        <w:t>will be required to demonstrate an understanding of, and commitment to, safeguarding responsibilities relevant to the role.</w:t>
      </w:r>
    </w:p>
    <w:p w14:paraId="40136E72" w14:textId="77777777" w:rsidR="00826C4E" w:rsidRPr="00BA37D9" w:rsidRDefault="00826C4E">
      <w:pPr>
        <w:rPr>
          <w:rFonts w:ascii="Arial" w:hAnsi="Arial" w:cs="Arial"/>
          <w:b/>
          <w:sz w:val="24"/>
          <w:szCs w:val="24"/>
        </w:rPr>
      </w:pPr>
    </w:p>
    <w:p w14:paraId="45D2C3AC" w14:textId="0BCFDB0E" w:rsidR="00421455" w:rsidRPr="00BA37D9" w:rsidRDefault="009C2724">
      <w:pPr>
        <w:rPr>
          <w:rFonts w:ascii="Arial" w:hAnsi="Arial" w:cs="Arial"/>
          <w:sz w:val="24"/>
          <w:szCs w:val="24"/>
        </w:rPr>
      </w:pPr>
      <w:r w:rsidRPr="00BA37D9">
        <w:rPr>
          <w:rFonts w:ascii="Arial" w:hAnsi="Arial" w:cs="Arial"/>
          <w:b/>
          <w:sz w:val="24"/>
          <w:szCs w:val="24"/>
        </w:rPr>
        <w:t>Equal Opportunities</w:t>
      </w:r>
    </w:p>
    <w:p w14:paraId="41A981D0" w14:textId="77777777" w:rsidR="00421455" w:rsidRPr="00BA37D9" w:rsidRDefault="009C2724">
      <w:pPr>
        <w:spacing w:after="80" w:line="264" w:lineRule="auto"/>
        <w:rPr>
          <w:rFonts w:ascii="Arial" w:hAnsi="Arial" w:cs="Arial"/>
          <w:sz w:val="24"/>
          <w:szCs w:val="24"/>
        </w:rPr>
      </w:pPr>
      <w:r w:rsidRPr="00BA37D9">
        <w:rPr>
          <w:rFonts w:ascii="Arial" w:hAnsi="Arial" w:cs="Arial"/>
          <w:sz w:val="24"/>
          <w:szCs w:val="24"/>
        </w:rPr>
        <w:t>The trust is committed to equality of opportunity and to creating an inclusive culture in which diversity is valued and everyone is treated fairly.</w:t>
      </w:r>
    </w:p>
    <w:p w14:paraId="1D60FD63" w14:textId="77777777" w:rsidR="00826C4E" w:rsidRPr="00BA37D9" w:rsidRDefault="00826C4E">
      <w:pPr>
        <w:rPr>
          <w:rFonts w:ascii="Arial" w:hAnsi="Arial" w:cs="Arial"/>
          <w:b/>
          <w:sz w:val="24"/>
          <w:szCs w:val="24"/>
        </w:rPr>
      </w:pPr>
    </w:p>
    <w:p w14:paraId="1EE5EAB9" w14:textId="4480D465" w:rsidR="00421455" w:rsidRPr="00BA37D9" w:rsidRDefault="009C2724">
      <w:pPr>
        <w:rPr>
          <w:rFonts w:ascii="Arial" w:hAnsi="Arial" w:cs="Arial"/>
          <w:sz w:val="24"/>
          <w:szCs w:val="24"/>
        </w:rPr>
      </w:pPr>
      <w:r w:rsidRPr="00BA37D9">
        <w:rPr>
          <w:rFonts w:ascii="Arial" w:hAnsi="Arial" w:cs="Arial"/>
          <w:b/>
          <w:sz w:val="24"/>
          <w:szCs w:val="24"/>
        </w:rPr>
        <w:t>Review</w:t>
      </w:r>
    </w:p>
    <w:p w14:paraId="756A6CBB" w14:textId="77777777" w:rsidR="00421455" w:rsidRPr="00BA37D9" w:rsidRDefault="009C2724">
      <w:pPr>
        <w:spacing w:after="80" w:line="264" w:lineRule="auto"/>
        <w:rPr>
          <w:rFonts w:ascii="Arial" w:hAnsi="Arial" w:cs="Arial"/>
          <w:sz w:val="24"/>
          <w:szCs w:val="24"/>
        </w:rPr>
      </w:pPr>
      <w:r w:rsidRPr="00BA37D9">
        <w:rPr>
          <w:rFonts w:ascii="Arial" w:hAnsi="Arial" w:cs="Arial"/>
          <w:sz w:val="24"/>
          <w:szCs w:val="24"/>
        </w:rPr>
        <w:t>This job description sets out the main duties of the post at the date it was drawn up. Such duties may vary from time to time without changing the general character of the post or the level of responsibility entailed.</w:t>
      </w:r>
    </w:p>
    <w:sectPr w:rsidR="00421455" w:rsidRPr="00BA37D9" w:rsidSect="00034616">
      <w:headerReference w:type="even" r:id="rId9"/>
      <w:headerReference w:type="default" r:id="rId10"/>
      <w:footerReference w:type="even" r:id="rId11"/>
      <w:footerReference w:type="default" r:id="rId12"/>
      <w:headerReference w:type="first" r:id="rId13"/>
      <w:footerReference w:type="first" r:id="rId14"/>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339F" w14:textId="77777777" w:rsidR="00C2032E" w:rsidRDefault="00C2032E">
      <w:pPr>
        <w:spacing w:after="0" w:line="240" w:lineRule="auto"/>
      </w:pPr>
      <w:r>
        <w:separator/>
      </w:r>
    </w:p>
  </w:endnote>
  <w:endnote w:type="continuationSeparator" w:id="0">
    <w:p w14:paraId="22A0B3BA" w14:textId="77777777" w:rsidR="00C2032E" w:rsidRDefault="00C2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26CF" w14:textId="77777777" w:rsidR="00826C4E" w:rsidRDefault="0082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86E2" w14:textId="328349A5" w:rsidR="00421455" w:rsidRDefault="0042145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C369" w14:textId="77777777" w:rsidR="00826C4E" w:rsidRDefault="0082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EA2D" w14:textId="77777777" w:rsidR="00C2032E" w:rsidRDefault="00C2032E">
      <w:pPr>
        <w:spacing w:after="0" w:line="240" w:lineRule="auto"/>
      </w:pPr>
      <w:r>
        <w:separator/>
      </w:r>
    </w:p>
  </w:footnote>
  <w:footnote w:type="continuationSeparator" w:id="0">
    <w:p w14:paraId="7D64F848" w14:textId="77777777" w:rsidR="00C2032E" w:rsidRDefault="00C20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B4F3" w14:textId="77777777" w:rsidR="00826C4E" w:rsidRDefault="00826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5AD8" w14:textId="5426A014" w:rsidR="00826C4E" w:rsidRDefault="00826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AEE7" w14:textId="77777777" w:rsidR="00826C4E" w:rsidRDefault="00826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0393053">
    <w:abstractNumId w:val="8"/>
  </w:num>
  <w:num w:numId="2" w16cid:durableId="1653215101">
    <w:abstractNumId w:val="6"/>
  </w:num>
  <w:num w:numId="3" w16cid:durableId="718671623">
    <w:abstractNumId w:val="5"/>
  </w:num>
  <w:num w:numId="4" w16cid:durableId="989752369">
    <w:abstractNumId w:val="4"/>
  </w:num>
  <w:num w:numId="5" w16cid:durableId="115298493">
    <w:abstractNumId w:val="7"/>
  </w:num>
  <w:num w:numId="6" w16cid:durableId="1174102639">
    <w:abstractNumId w:val="3"/>
  </w:num>
  <w:num w:numId="7" w16cid:durableId="1307199202">
    <w:abstractNumId w:val="2"/>
  </w:num>
  <w:num w:numId="8" w16cid:durableId="22632586">
    <w:abstractNumId w:val="1"/>
  </w:num>
  <w:num w:numId="9" w16cid:durableId="23416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938"/>
    <w:rsid w:val="00034616"/>
    <w:rsid w:val="0006063C"/>
    <w:rsid w:val="000607DC"/>
    <w:rsid w:val="00105147"/>
    <w:rsid w:val="00136ED8"/>
    <w:rsid w:val="001401F1"/>
    <w:rsid w:val="00144CA1"/>
    <w:rsid w:val="0015074B"/>
    <w:rsid w:val="00182796"/>
    <w:rsid w:val="00277BD5"/>
    <w:rsid w:val="0029639D"/>
    <w:rsid w:val="00297DDB"/>
    <w:rsid w:val="002B02A3"/>
    <w:rsid w:val="00321236"/>
    <w:rsid w:val="00326F90"/>
    <w:rsid w:val="003D7B11"/>
    <w:rsid w:val="00421455"/>
    <w:rsid w:val="00427114"/>
    <w:rsid w:val="00442D72"/>
    <w:rsid w:val="00473677"/>
    <w:rsid w:val="00535F88"/>
    <w:rsid w:val="005E19D2"/>
    <w:rsid w:val="005E3589"/>
    <w:rsid w:val="005E6D5F"/>
    <w:rsid w:val="00605978"/>
    <w:rsid w:val="006F6491"/>
    <w:rsid w:val="007746E5"/>
    <w:rsid w:val="007C01E6"/>
    <w:rsid w:val="008031BB"/>
    <w:rsid w:val="00804ABC"/>
    <w:rsid w:val="00810742"/>
    <w:rsid w:val="00826C4E"/>
    <w:rsid w:val="0084044A"/>
    <w:rsid w:val="00851777"/>
    <w:rsid w:val="00925147"/>
    <w:rsid w:val="00954668"/>
    <w:rsid w:val="009C2724"/>
    <w:rsid w:val="00A020E4"/>
    <w:rsid w:val="00A77169"/>
    <w:rsid w:val="00AA1D8D"/>
    <w:rsid w:val="00B17C74"/>
    <w:rsid w:val="00B47730"/>
    <w:rsid w:val="00B5236B"/>
    <w:rsid w:val="00BA37D9"/>
    <w:rsid w:val="00BB1AF9"/>
    <w:rsid w:val="00BB7B19"/>
    <w:rsid w:val="00C2032E"/>
    <w:rsid w:val="00C51BBD"/>
    <w:rsid w:val="00C56C55"/>
    <w:rsid w:val="00C66D37"/>
    <w:rsid w:val="00C97770"/>
    <w:rsid w:val="00CB0664"/>
    <w:rsid w:val="00CD4F80"/>
    <w:rsid w:val="00D33D5C"/>
    <w:rsid w:val="00D826B1"/>
    <w:rsid w:val="00DD5503"/>
    <w:rsid w:val="00DF53BC"/>
    <w:rsid w:val="00E41498"/>
    <w:rsid w:val="00E67766"/>
    <w:rsid w:val="00E768CB"/>
    <w:rsid w:val="00F563BB"/>
    <w:rsid w:val="00F8643F"/>
    <w:rsid w:val="00FC0AB3"/>
    <w:rsid w:val="00FC693F"/>
    <w:rsid w:val="00FF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687F92"/>
  <w14:defaultImageDpi w14:val="300"/>
  <w15:docId w15:val="{EDE28923-9FE4-4194-8668-4B0C3565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Marriott</cp:lastModifiedBy>
  <cp:revision>3</cp:revision>
  <dcterms:created xsi:type="dcterms:W3CDTF">2026-04-29T16:52:00Z</dcterms:created>
  <dcterms:modified xsi:type="dcterms:W3CDTF">2026-06-09T17:03:00Z</dcterms:modified>
  <cp:category/>
</cp:coreProperties>
</file>