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2.0" w:type="dxa"/>
        <w:jc w:val="left"/>
        <w:tblInd w:w="-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"/>
        <w:gridCol w:w="817"/>
        <w:gridCol w:w="5387"/>
        <w:gridCol w:w="1275"/>
        <w:gridCol w:w="1276"/>
        <w:gridCol w:w="1826"/>
        <w:tblGridChange w:id="0">
          <w:tblGrid>
            <w:gridCol w:w="21"/>
            <w:gridCol w:w="817"/>
            <w:gridCol w:w="5387"/>
            <w:gridCol w:w="1275"/>
            <w:gridCol w:w="1276"/>
            <w:gridCol w:w="18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Desirable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Qualifications and Experience</w:t>
            </w:r>
          </w:p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   Application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  Supporting Statement</w:t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   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Qualified Teacher Status or QTLS (with degree level of equivalent).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9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Exemplary classroom practitioner relevant to sector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1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Recent senior or middle leadership experience in a relevant sector school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0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QE4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Designated Safeguarding Lead Training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8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worked as DSL or Deputy DSL within your most recent role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2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Century Gothic" w:cs="Century Gothic" w:eastAsia="Century Gothic" w:hAnsi="Century Gothic"/>
          <w:sz w:val="22"/>
          <w:szCs w:val="22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Ind w:w="-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8"/>
        <w:gridCol w:w="5387"/>
        <w:gridCol w:w="16"/>
        <w:gridCol w:w="1259"/>
        <w:gridCol w:w="16"/>
        <w:gridCol w:w="1260"/>
        <w:gridCol w:w="16"/>
        <w:gridCol w:w="1969"/>
        <w:gridCol w:w="11"/>
        <w:tblGridChange w:id="0">
          <w:tblGrid>
            <w:gridCol w:w="838"/>
            <w:gridCol w:w="5387"/>
            <w:gridCol w:w="16"/>
            <w:gridCol w:w="1259"/>
            <w:gridCol w:w="16"/>
            <w:gridCol w:w="1260"/>
            <w:gridCol w:w="16"/>
            <w:gridCol w:w="1969"/>
            <w:gridCol w:w="11"/>
          </w:tblGrid>
        </w:tblGridChange>
      </w:tblGrid>
      <w:tr>
        <w:trPr>
          <w:cantSplit w:val="0"/>
          <w:trHeight w:val="9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Knowledge and Skills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have an up to date understanding on national policy, curriculum developments and statutory legal frameworks within which schools operate.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4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be able to demonstrate best practice with regard to safeguarding procedures within an education setting and have extensive knowledge of key safeguarding and child protection legislation.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3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Able to use data to monitor behaviour and analyse the impact of interventions in place</w:t>
            </w:r>
          </w:p>
          <w:p w:rsidR="00000000" w:rsidDel="00000000" w:rsidP="00000000" w:rsidRDefault="00000000" w:rsidRPr="00000000" w14:paraId="0000006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S4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Able to develop strategies for positive behaviour management.</w:t>
            </w:r>
          </w:p>
          <w:p w:rsidR="00000000" w:rsidDel="00000000" w:rsidP="00000000" w:rsidRDefault="00000000" w:rsidRPr="00000000" w14:paraId="0000007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Able to manage resources and budgets effectively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9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S6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Excellent communication skills both in oral and in written forms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S7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set targets and, through systematic monitoring, review and evaluation, to see these targets achieved</w:t>
            </w:r>
          </w:p>
          <w:p w:rsidR="00000000" w:rsidDel="00000000" w:rsidP="00000000" w:rsidRDefault="00000000" w:rsidRPr="00000000" w14:paraId="0000009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8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S8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lead and manage teams through effective planning, setting priorities, delegation and monitoring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0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S9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demonstrate and recognise good classroom practice and set up systems within a faculty or school wide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1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lead and motivate colleagues including performance management and continuous professional development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2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S11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drive performance whilst effectively challenge underperformance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3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S12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work in partnership with Governors, the LA, other schools and parents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4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S13</w:t>
            </w:r>
          </w:p>
          <w:p w:rsidR="00000000" w:rsidDel="00000000" w:rsidP="00000000" w:rsidRDefault="00000000" w:rsidRPr="00000000" w14:paraId="000000D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High level use of ICT as a tool for teaching and Whole College Management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S14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Good personal time management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Commitment </w:t>
            </w:r>
          </w:p>
          <w:p w:rsidR="00000000" w:rsidDel="00000000" w:rsidP="00000000" w:rsidRDefault="00000000" w:rsidRPr="00000000" w14:paraId="000000F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C1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the principles of comprehensive and specialist education and the notion of the college as a community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C2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the pursuit of the highest standards of behaviour and achievement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5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7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Other Qualities</w:t>
            </w:r>
          </w:p>
          <w:p w:rsidR="00000000" w:rsidDel="00000000" w:rsidP="00000000" w:rsidRDefault="00000000" w:rsidRPr="00000000" w14:paraId="00000119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D1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be a visible member of SLT or MLT who leads by example and is  accessible, responsive and accountable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</w:t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D2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positive attitude to the management of change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9"/>
            <w:shd w:fill="e6e6e6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Safeguarding and Confidentiality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best practice and procedures for safeguarding children and young people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4">
            <w:pPr>
              <w:ind w:right="25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ind w:right="25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Ability to demonstrate high levels of confidentiality and discretion.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ind w:right="25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</w:tbl>
    <w:p w:rsidR="00000000" w:rsidDel="00000000" w:rsidP="00000000" w:rsidRDefault="00000000" w:rsidRPr="00000000" w14:paraId="0000015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type w:val="continuous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683.000000000002" w:type="dxa"/>
      <w:jc w:val="left"/>
      <w:tblInd w:w="-115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Layout w:type="fixed"/>
      <w:tblLook w:val="0400"/>
    </w:tblPr>
    <w:tblGrid>
      <w:gridCol w:w="4786"/>
      <w:gridCol w:w="5897"/>
      <w:tblGridChange w:id="0">
        <w:tblGrid>
          <w:gridCol w:w="4786"/>
          <w:gridCol w:w="5897"/>
        </w:tblGrid>
      </w:tblGridChange>
    </w:tblGrid>
    <w:tr>
      <w:trPr>
        <w:cantSplit w:val="0"/>
        <w:trHeight w:val="182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54">
          <w:pPr>
            <w:ind w:right="119"/>
            <w:rPr>
              <w:rFonts w:ascii="Century Gothic" w:cs="Century Gothic" w:eastAsia="Century Gothic" w:hAnsi="Century Gothic"/>
              <w:b w:val="1"/>
              <w:bCs w:val="1"/>
              <w:sz w:val="52"/>
              <w:szCs w:val="5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color w:val="ff0000"/>
              <w:sz w:val="52"/>
              <w:szCs w:val="5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55">
          <w:pPr>
            <w:spacing w:before="180" w:line="440" w:lineRule="auto"/>
            <w:ind w:right="119"/>
            <w:jc w:val="right"/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  <w:rtl w:val="0"/>
            </w:rPr>
            <w:t xml:space="preserve">Person Specification</w:t>
          </w:r>
        </w:p>
        <w:p w:rsidR="00000000" w:rsidDel="00000000" w:rsidP="00000000" w:rsidRDefault="00000000" w:rsidRPr="00000000" w14:paraId="00000156">
          <w:pPr>
            <w:spacing w:before="120" w:line="360" w:lineRule="auto"/>
            <w:ind w:right="119"/>
            <w:jc w:val="right"/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  <w:rtl w:val="0"/>
            </w:rPr>
            <w:t xml:space="preserve">Assistant Headteacher</w:t>
          </w:r>
        </w:p>
        <w:p w:rsidR="00000000" w:rsidDel="00000000" w:rsidP="00000000" w:rsidRDefault="00000000" w:rsidRPr="00000000" w14:paraId="00000157">
          <w:pPr>
            <w:spacing w:before="120" w:line="360" w:lineRule="auto"/>
            <w:ind w:right="119"/>
            <w:jc w:val="right"/>
            <w:rPr>
              <w:rFonts w:ascii="Century Gothic" w:cs="Century Gothic" w:eastAsia="Century Gothic" w:hAnsi="Century Gothic"/>
              <w:i w:val="1"/>
              <w:iCs w:val="1"/>
              <w:sz w:val="52"/>
              <w:szCs w:val="5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  <w:rtl w:val="0"/>
            </w:rPr>
            <w:t xml:space="preserve">Behaviour and Attitudes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0115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rsid w:val="006C4D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C4DB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C4D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C4DB2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F656C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37A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37A9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ADXGpfn0iahnxPrqsk12fa2Ew==">CgMxLjA4AHIhMWJJaGw3NXJ1bEc4RXA5WFR2LS0tQzdFazV3Q2taU3JD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2020-11-12T15:05:00Z</dcterms:created>
  <dc:creator>Jean</dc:creator>
</cp:coreProperties>
</file>