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41C60" w14:textId="0CF5E716" w:rsidR="000B2D0C" w:rsidRDefault="000B2D0C" w:rsidP="036413CB">
      <w:pPr>
        <w:jc w:val="center"/>
      </w:pPr>
      <w:r>
        <w:rPr>
          <w:noProof/>
        </w:rPr>
        <w:drawing>
          <wp:inline distT="0" distB="0" distL="0" distR="0" wp14:anchorId="7F322639" wp14:editId="1F641EA8">
            <wp:extent cx="1739574" cy="830506"/>
            <wp:effectExtent l="0" t="0" r="0" b="8255"/>
            <wp:docPr id="3" name="Picture 3" descr="A computer screen 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mputer screen shot of a website&#10;&#10;Description automatically generated"/>
                    <pic:cNvPicPr/>
                  </pic:nvPicPr>
                  <pic:blipFill rotWithShape="1">
                    <a:blip r:embed="rId11"/>
                    <a:srcRect l="40993" t="15757" r="41835" b="69668"/>
                    <a:stretch/>
                  </pic:blipFill>
                  <pic:spPr bwMode="auto">
                    <a:xfrm>
                      <a:off x="0" y="0"/>
                      <a:ext cx="1776135" cy="847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E9D058" w14:textId="77777777" w:rsidR="00783538" w:rsidRPr="000B2D0C" w:rsidRDefault="00783538" w:rsidP="00783538">
      <w:pPr>
        <w:pStyle w:val="Header"/>
        <w:jc w:val="center"/>
        <w:rPr>
          <w:b/>
          <w:bCs/>
        </w:rPr>
      </w:pPr>
      <w:r w:rsidRPr="000B2D0C">
        <w:rPr>
          <w:rFonts w:ascii="Gotham Medium" w:hAnsi="Gotham Medium"/>
          <w:b/>
          <w:bCs/>
          <w:sz w:val="36"/>
          <w:szCs w:val="36"/>
        </w:rPr>
        <w:t>Job Description and Person Specification</w:t>
      </w:r>
    </w:p>
    <w:p w14:paraId="658B668B" w14:textId="77777777" w:rsidR="00783538" w:rsidRDefault="00783538" w:rsidP="000B2D0C">
      <w:pPr>
        <w:jc w:val="center"/>
        <w:rPr>
          <w:rFonts w:cstheme="minorHAnsi"/>
        </w:rPr>
      </w:pPr>
    </w:p>
    <w:p w14:paraId="7056CF92" w14:textId="50100F74" w:rsidR="00336BE6" w:rsidRDefault="000B2D0C" w:rsidP="0BC01950">
      <w:pPr>
        <w:jc w:val="center"/>
        <w:rPr>
          <w:b/>
          <w:bCs/>
          <w:sz w:val="28"/>
          <w:szCs w:val="28"/>
        </w:rPr>
      </w:pPr>
      <w:r w:rsidRPr="036413CB">
        <w:rPr>
          <w:b/>
          <w:bCs/>
          <w:sz w:val="28"/>
          <w:szCs w:val="28"/>
        </w:rPr>
        <w:t>Inclusive, Collaborative, Ambitiou</w:t>
      </w:r>
      <w:r w:rsidR="4BCAA42A" w:rsidRPr="036413CB">
        <w:rPr>
          <w:b/>
          <w:bCs/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7646"/>
      </w:tblGrid>
      <w:tr w:rsidR="0F918C07" w14:paraId="490D49FE" w14:textId="77777777" w:rsidTr="0F918C07">
        <w:trPr>
          <w:trHeight w:val="558"/>
        </w:trPr>
        <w:tc>
          <w:tcPr>
            <w:tcW w:w="2272" w:type="dxa"/>
            <w:shd w:val="clear" w:color="auto" w:fill="C5E0B3" w:themeFill="accent6" w:themeFillTint="66"/>
            <w:vAlign w:val="center"/>
          </w:tcPr>
          <w:p w14:paraId="57FB8999" w14:textId="612B4F59" w:rsidR="0F918C07" w:rsidRDefault="0F918C07" w:rsidP="0F918C07">
            <w:pPr>
              <w:rPr>
                <w:b/>
                <w:bCs/>
                <w:sz w:val="24"/>
                <w:szCs w:val="24"/>
              </w:rPr>
            </w:pPr>
            <w:r w:rsidRPr="0F918C07">
              <w:rPr>
                <w:rFonts w:eastAsia="Calibri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7646" w:type="dxa"/>
            <w:vAlign w:val="center"/>
          </w:tcPr>
          <w:p w14:paraId="2EA8C940" w14:textId="377F8383" w:rsidR="0F918C07" w:rsidRDefault="000E2723" w:rsidP="0F918C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Sheringham High School SENDCo and Trust Lead</w:t>
            </w:r>
          </w:p>
        </w:tc>
      </w:tr>
      <w:tr w:rsidR="0F918C07" w14:paraId="15DD7C63" w14:textId="77777777" w:rsidTr="000E2723">
        <w:trPr>
          <w:trHeight w:val="544"/>
        </w:trPr>
        <w:tc>
          <w:tcPr>
            <w:tcW w:w="2272" w:type="dxa"/>
            <w:shd w:val="clear" w:color="auto" w:fill="C5E0B3" w:themeFill="accent6" w:themeFillTint="66"/>
            <w:vAlign w:val="center"/>
          </w:tcPr>
          <w:p w14:paraId="580D79CE" w14:textId="31E50A43" w:rsidR="0F918C07" w:rsidRPr="000E2723" w:rsidRDefault="0F918C07" w:rsidP="0F918C07">
            <w:pPr>
              <w:rPr>
                <w:b/>
                <w:bCs/>
                <w:sz w:val="24"/>
                <w:szCs w:val="24"/>
              </w:rPr>
            </w:pPr>
            <w:r w:rsidRPr="0F918C07">
              <w:rPr>
                <w:rFonts w:eastAsia="Calibri"/>
                <w:b/>
                <w:bCs/>
                <w:sz w:val="24"/>
                <w:szCs w:val="24"/>
              </w:rPr>
              <w:t>Responsible to</w:t>
            </w:r>
          </w:p>
        </w:tc>
        <w:tc>
          <w:tcPr>
            <w:tcW w:w="7646" w:type="dxa"/>
            <w:vAlign w:val="center"/>
          </w:tcPr>
          <w:p w14:paraId="75D713D6" w14:textId="5277C088" w:rsidR="0F918C07" w:rsidRDefault="000E2723" w:rsidP="0F918C0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Sheringham Head of School and CEO</w:t>
            </w:r>
          </w:p>
        </w:tc>
      </w:tr>
      <w:tr w:rsidR="0F918C07" w14:paraId="2A22DD7C" w14:textId="77777777" w:rsidTr="0F918C07">
        <w:trPr>
          <w:trHeight w:val="397"/>
        </w:trPr>
        <w:tc>
          <w:tcPr>
            <w:tcW w:w="2272" w:type="dxa"/>
            <w:shd w:val="clear" w:color="auto" w:fill="C5E0B3" w:themeFill="accent6" w:themeFillTint="66"/>
            <w:vAlign w:val="center"/>
          </w:tcPr>
          <w:p w14:paraId="1B5942E5" w14:textId="0D9D4E8E" w:rsidR="0F918C07" w:rsidRDefault="0F918C07" w:rsidP="0F918C07">
            <w:pPr>
              <w:rPr>
                <w:b/>
                <w:bCs/>
                <w:sz w:val="24"/>
                <w:szCs w:val="24"/>
              </w:rPr>
            </w:pPr>
            <w:r w:rsidRPr="0F918C07">
              <w:rPr>
                <w:rFonts w:eastAsia="Calibri"/>
                <w:b/>
                <w:bCs/>
                <w:sz w:val="24"/>
                <w:szCs w:val="24"/>
              </w:rPr>
              <w:t>Terms and Conditions</w:t>
            </w:r>
          </w:p>
        </w:tc>
        <w:tc>
          <w:tcPr>
            <w:tcW w:w="7646" w:type="dxa"/>
            <w:vAlign w:val="center"/>
          </w:tcPr>
          <w:p w14:paraId="56DD8F00" w14:textId="77777777" w:rsidR="0F918C07" w:rsidRDefault="0F918C07" w:rsidP="0F918C07">
            <w:r w:rsidRPr="0F918C07">
              <w:t xml:space="preserve">MPS / UPS + SENDCo TLR </w:t>
            </w:r>
            <w:r w:rsidR="00C60F65">
              <w:t xml:space="preserve">1 </w:t>
            </w:r>
            <w:r w:rsidRPr="0F918C07">
              <w:t>allowan</w:t>
            </w:r>
            <w:r w:rsidR="00245325">
              <w:t>ce</w:t>
            </w:r>
          </w:p>
          <w:p w14:paraId="36D9CDDA" w14:textId="06123A41" w:rsidR="00480976" w:rsidRDefault="00F3760A" w:rsidP="0F918C07">
            <w:r>
              <w:t>0.8FTE School Based + 0.2FTE Trust Based</w:t>
            </w:r>
          </w:p>
        </w:tc>
      </w:tr>
    </w:tbl>
    <w:p w14:paraId="361C7E61" w14:textId="571859F9" w:rsidR="00783538" w:rsidRDefault="00783538" w:rsidP="0F918C07">
      <w:pPr>
        <w:jc w:val="center"/>
        <w:rPr>
          <w:b/>
          <w:bCs/>
          <w:sz w:val="28"/>
          <w:szCs w:val="28"/>
        </w:rPr>
      </w:pPr>
      <w:bookmarkStart w:id="0" w:name="_Hlk17860336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0B2D0C" w:rsidRPr="000424BD" w14:paraId="46CDA601" w14:textId="77777777" w:rsidTr="000920C2">
        <w:trPr>
          <w:cantSplit/>
          <w:trHeight w:val="170"/>
          <w:tblHeader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2D3AE0C5" w14:textId="36FDDA5C" w:rsidR="000B2D0C" w:rsidRPr="000920C2" w:rsidRDefault="000B2D0C" w:rsidP="000920C2">
            <w:pPr>
              <w:autoSpaceDE w:val="0"/>
              <w:autoSpaceDN w:val="0"/>
              <w:spacing w:after="120"/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</w:pPr>
            <w:bookmarkStart w:id="1" w:name="_Hlk182424791"/>
            <w:r w:rsidRPr="000920C2"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  <w:t>Core Responsibilities</w:t>
            </w:r>
          </w:p>
        </w:tc>
      </w:tr>
      <w:tr w:rsidR="000B2D0C" w:rsidRPr="00564E92" w14:paraId="6F13975D" w14:textId="77777777" w:rsidTr="004F511F">
        <w:trPr>
          <w:trHeight w:val="170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5C39" w14:textId="5B541B29" w:rsidR="000B2D0C" w:rsidRDefault="003157E2" w:rsidP="000B2D0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is a significant leadership role; the SENDCo will be responsible for the leadership and management of all SEND related activities and issues across </w:t>
            </w:r>
            <w:r w:rsidR="00C122C5">
              <w:rPr>
                <w:rFonts w:asciiTheme="minorHAnsi" w:hAnsiTheme="minorHAnsi" w:cstheme="minorHAnsi"/>
              </w:rPr>
              <w:t>Sheringham High School and Sixth Form</w:t>
            </w:r>
            <w:r w:rsidR="00E607A5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The</w:t>
            </w:r>
            <w:r w:rsidR="003503F4">
              <w:rPr>
                <w:rFonts w:asciiTheme="minorHAnsi" w:hAnsiTheme="minorHAnsi" w:cstheme="minorHAnsi"/>
              </w:rPr>
              <w:t xml:space="preserve"> post holder</w:t>
            </w:r>
            <w:r>
              <w:rPr>
                <w:rFonts w:asciiTheme="minorHAnsi" w:hAnsiTheme="minorHAnsi" w:cstheme="minorHAnsi"/>
              </w:rPr>
              <w:t xml:space="preserve"> will be responsible for a large number of colleagues’ performance, professional development and professional conduct. The SENDCo will also be a key leader in forming and maintaining positive and effective relationships with all other stakeholders, working together to ensure all </w:t>
            </w:r>
            <w:r w:rsidR="003529D4">
              <w:rPr>
                <w:rFonts w:asciiTheme="minorHAnsi" w:hAnsiTheme="minorHAnsi" w:cstheme="minorHAnsi"/>
              </w:rPr>
              <w:t>student</w:t>
            </w:r>
            <w:r>
              <w:rPr>
                <w:rFonts w:asciiTheme="minorHAnsi" w:hAnsiTheme="minorHAnsi" w:cstheme="minorHAnsi"/>
              </w:rPr>
              <w:t>s with Special Educational Needs and Disabilities receive a first class education.</w:t>
            </w:r>
          </w:p>
          <w:p w14:paraId="71B6834E" w14:textId="77777777" w:rsidR="003157E2" w:rsidRDefault="003157E2" w:rsidP="006813A3">
            <w:pPr>
              <w:pStyle w:val="NoSpacing"/>
              <w:ind w:left="313" w:hanging="313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  <w:p w14:paraId="6BE82667" w14:textId="78CA6FDB" w:rsidR="00AB2A1E" w:rsidRPr="00AB2A1E" w:rsidRDefault="00AB2A1E" w:rsidP="006813A3">
            <w:pPr>
              <w:pStyle w:val="NoSpacing"/>
              <w:ind w:left="313" w:hanging="313"/>
              <w:jc w:val="both"/>
              <w:rPr>
                <w:rFonts w:asciiTheme="minorHAnsi" w:hAnsiTheme="minorHAnsi" w:cstheme="minorHAnsi"/>
                <w:b/>
                <w:bCs/>
                <w:lang w:val="en-US" w:eastAsia="en-GB"/>
              </w:rPr>
            </w:pPr>
            <w:r w:rsidRPr="00AB2A1E">
              <w:rPr>
                <w:rFonts w:asciiTheme="minorHAnsi" w:hAnsiTheme="minorHAnsi" w:cstheme="minorHAnsi"/>
                <w:b/>
                <w:bCs/>
                <w:lang w:val="en-US" w:eastAsia="en-GB"/>
              </w:rPr>
              <w:t>Key Responsibilities</w:t>
            </w:r>
          </w:p>
          <w:p w14:paraId="520882B1" w14:textId="0E430E40" w:rsidR="00E23A06" w:rsidRDefault="00E23A06" w:rsidP="00A44A9D">
            <w:pPr>
              <w:pStyle w:val="4Bulletedcopyblue"/>
              <w:numPr>
                <w:ilvl w:val="0"/>
                <w:numId w:val="2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strategic development, implementation and evaluation of special educational needs (SEN</w:t>
            </w:r>
            <w:r w:rsidR="00E607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) policy and provision </w:t>
            </w:r>
            <w:r w:rsidR="001638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 Sheringham High School and Sixth Form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325C6E54" w14:textId="5EC641B0" w:rsidR="00E6536E" w:rsidRPr="00E6536E" w:rsidRDefault="00E6536E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Maintain</w:t>
            </w:r>
            <w:r>
              <w:rPr>
                <w:rFonts w:cstheme="minorHAnsi"/>
              </w:rPr>
              <w:t>ing</w:t>
            </w:r>
            <w:r w:rsidRPr="005357D1">
              <w:rPr>
                <w:rFonts w:cstheme="minorHAnsi"/>
              </w:rPr>
              <w:t xml:space="preserve"> an accurate SEND register, provision map and other school specific records.</w:t>
            </w:r>
          </w:p>
          <w:p w14:paraId="2B8A980B" w14:textId="3481F98E" w:rsidR="00E23A06" w:rsidRPr="00E82DF1" w:rsidRDefault="00637A5F" w:rsidP="00A44A9D">
            <w:pPr>
              <w:pStyle w:val="4Bulletedcopyblue"/>
              <w:numPr>
                <w:ilvl w:val="0"/>
                <w:numId w:val="2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Maintain</w:t>
            </w:r>
            <w:r w:rsidR="001638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ing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</w:t>
            </w:r>
            <w:r w:rsidR="00E23A06"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versight of additional policies such as supporting </w:t>
            </w:r>
            <w:r w:rsidR="003529D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</w:t>
            </w:r>
            <w:r w:rsidR="00E23A06"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 with medical needs policy, accessibility plan and equality policy at </w:t>
            </w:r>
            <w:r w:rsidR="001638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Sheringham High School and Sixth Form</w:t>
            </w:r>
            <w:r w:rsidR="00E23A0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7EF7AC5E" w14:textId="14D44C7C" w:rsidR="00E23A06" w:rsidRDefault="00637A5F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23A06" w:rsidRPr="00E82DF1">
              <w:rPr>
                <w:rFonts w:cstheme="minorHAnsi"/>
              </w:rPr>
              <w:t>esponsib</w:t>
            </w:r>
            <w:r w:rsidR="00163826">
              <w:rPr>
                <w:rFonts w:cstheme="minorHAnsi"/>
              </w:rPr>
              <w:t>il</w:t>
            </w:r>
            <w:r w:rsidR="009E3D4E">
              <w:rPr>
                <w:rFonts w:cstheme="minorHAnsi"/>
              </w:rPr>
              <w:t>i</w:t>
            </w:r>
            <w:r w:rsidR="00163826">
              <w:rPr>
                <w:rFonts w:cstheme="minorHAnsi"/>
              </w:rPr>
              <w:t>ty</w:t>
            </w:r>
            <w:r w:rsidR="00E23A06" w:rsidRPr="00E82DF1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>leading t</w:t>
            </w:r>
            <w:r w:rsidR="00E23A06" w:rsidRPr="00E82DF1">
              <w:rPr>
                <w:rFonts w:cstheme="minorHAnsi"/>
              </w:rPr>
              <w:t>he day-to-day operation of the SEN</w:t>
            </w:r>
            <w:r w:rsidR="00E607A5">
              <w:rPr>
                <w:rFonts w:cstheme="minorHAnsi"/>
              </w:rPr>
              <w:t>D</w:t>
            </w:r>
            <w:r w:rsidR="00E23A06" w:rsidRPr="00E82DF1">
              <w:rPr>
                <w:rFonts w:cstheme="minorHAnsi"/>
              </w:rPr>
              <w:t xml:space="preserve"> policy and co-ordination of specific provision</w:t>
            </w:r>
            <w:r w:rsidR="00613DDB">
              <w:rPr>
                <w:rFonts w:cstheme="minorHAnsi"/>
              </w:rPr>
              <w:t xml:space="preserve"> or intervention</w:t>
            </w:r>
            <w:r w:rsidR="00E23A06" w:rsidRPr="00E82DF1">
              <w:rPr>
                <w:rFonts w:cstheme="minorHAnsi"/>
              </w:rPr>
              <w:t xml:space="preserve"> to support individual students with SEN</w:t>
            </w:r>
            <w:r w:rsidR="00E607A5">
              <w:rPr>
                <w:rFonts w:cstheme="minorHAnsi"/>
              </w:rPr>
              <w:t>D</w:t>
            </w:r>
            <w:r w:rsidR="00E23A06" w:rsidRPr="00E82DF1">
              <w:rPr>
                <w:rFonts w:cstheme="minorHAnsi"/>
              </w:rPr>
              <w:t xml:space="preserve"> and/or a disability</w:t>
            </w:r>
            <w:r w:rsidR="00613DDB">
              <w:rPr>
                <w:rFonts w:cstheme="minorHAnsi"/>
              </w:rPr>
              <w:t>, including</w:t>
            </w:r>
            <w:r w:rsidR="00613DDB" w:rsidRPr="005357D1">
              <w:rPr>
                <w:rFonts w:cstheme="minorHAnsi"/>
              </w:rPr>
              <w:t xml:space="preserve"> alternative provision such as off-site education</w:t>
            </w:r>
            <w:r w:rsidR="00613DDB">
              <w:rPr>
                <w:rFonts w:cstheme="minorHAnsi"/>
              </w:rPr>
              <w:t xml:space="preserve"> where appropriate</w:t>
            </w:r>
            <w:r w:rsidR="00613DDB" w:rsidRPr="005357D1">
              <w:rPr>
                <w:rFonts w:cstheme="minorHAnsi"/>
              </w:rPr>
              <w:t>.</w:t>
            </w:r>
          </w:p>
          <w:p w14:paraId="249E0F06" w14:textId="77777777" w:rsidR="00CB30A9" w:rsidRPr="00CB30A9" w:rsidRDefault="00CB30A9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t>Responsibility for the strategic resourcing, leadership and day-to-day management of the SEND base, ensuring it operates as a high-quality provision that is fully integrated within the life, curriculum and culture of the School, rather than as a separate or standalone provision.</w:t>
            </w:r>
          </w:p>
          <w:p w14:paraId="633727AE" w14:textId="52CD2F57" w:rsidR="00E6536E" w:rsidRPr="005357D1" w:rsidRDefault="00E6536E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</w:t>
            </w:r>
            <w:r w:rsidRPr="005357D1">
              <w:rPr>
                <w:rFonts w:cstheme="minorHAnsi"/>
              </w:rPr>
              <w:t xml:space="preserve"> with relevant staff </w:t>
            </w:r>
            <w:r>
              <w:rPr>
                <w:rFonts w:cstheme="minorHAnsi"/>
              </w:rPr>
              <w:t xml:space="preserve">and the Senior Leadership Team </w:t>
            </w:r>
            <w:r w:rsidRPr="005357D1">
              <w:rPr>
                <w:rFonts w:cstheme="minorHAnsi"/>
              </w:rPr>
              <w:t>to develop effective ways of removing barriers to learning for students with SEND through:</w:t>
            </w:r>
          </w:p>
          <w:p w14:paraId="55FA174D" w14:textId="77777777" w:rsidR="00E6536E" w:rsidRPr="005357D1" w:rsidRDefault="00E6536E" w:rsidP="00A44A9D">
            <w:pPr>
              <w:pStyle w:val="ListParagraph"/>
              <w:numPr>
                <w:ilvl w:val="1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Early and effective assessment of needs</w:t>
            </w:r>
          </w:p>
          <w:p w14:paraId="765CBDAF" w14:textId="6FAC6998" w:rsidR="00E6536E" w:rsidRPr="005357D1" w:rsidRDefault="00E6536E" w:rsidP="00A44A9D">
            <w:pPr>
              <w:pStyle w:val="ListParagraph"/>
              <w:numPr>
                <w:ilvl w:val="1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Monitoring of teaching, learning and student progress</w:t>
            </w:r>
            <w:r w:rsidR="00613DDB">
              <w:rPr>
                <w:rFonts w:cstheme="minorHAnsi"/>
              </w:rPr>
              <w:t>, including analysis of progress data for students with SEND</w:t>
            </w:r>
          </w:p>
          <w:p w14:paraId="5EE5E52C" w14:textId="77777777" w:rsidR="00E6536E" w:rsidRPr="005357D1" w:rsidRDefault="00E6536E" w:rsidP="00A44A9D">
            <w:pPr>
              <w:pStyle w:val="ListParagraph"/>
              <w:numPr>
                <w:ilvl w:val="1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Liaising closely with the pastoral and safeguarding teams</w:t>
            </w:r>
          </w:p>
          <w:p w14:paraId="4DDE462E" w14:textId="7D39127C" w:rsidR="00E6536E" w:rsidRPr="00E6536E" w:rsidRDefault="00E6536E" w:rsidP="00A44A9D">
            <w:pPr>
              <w:pStyle w:val="ListParagraph"/>
              <w:numPr>
                <w:ilvl w:val="1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 xml:space="preserve">Target setting, including provision and revision of plans </w:t>
            </w:r>
          </w:p>
          <w:p w14:paraId="7E9C9233" w14:textId="63AB7AD1" w:rsidR="00E23A06" w:rsidRPr="00E82DF1" w:rsidRDefault="00E23A06" w:rsidP="00A44A9D">
            <w:pPr>
              <w:pStyle w:val="4Bulletedcopyblue"/>
              <w:numPr>
                <w:ilvl w:val="0"/>
                <w:numId w:val="2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Lead</w:t>
            </w:r>
            <w:r w:rsidR="009E3D4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ing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by practical example and provid</w:t>
            </w:r>
            <w:r w:rsidR="009E3D4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ing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professional guidance to colleagues, working closely with staff, parents and other agencies such as SEN</w:t>
            </w:r>
            <w:r w:rsidR="00E607A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providers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57A198B3" w14:textId="65ACF0DD" w:rsidR="00E23A06" w:rsidRPr="00E82DF1" w:rsidRDefault="00E23A06" w:rsidP="00A44A9D">
            <w:pPr>
              <w:pStyle w:val="4Bulletedcopyblue"/>
              <w:numPr>
                <w:ilvl w:val="0"/>
                <w:numId w:val="2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Maintain</w:t>
            </w:r>
            <w:r w:rsidR="009E3D4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ing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 up-to-date knowledge across secondary and post-16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6D6BF3B3" w14:textId="44938449" w:rsidR="00E23A06" w:rsidRPr="00E82DF1" w:rsidRDefault="00E23A06" w:rsidP="00A44A9D">
            <w:pPr>
              <w:pStyle w:val="4Bulletedcopyblue"/>
              <w:numPr>
                <w:ilvl w:val="0"/>
                <w:numId w:val="2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DF1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Strategically develop and deliver interventions to support SEN</w:t>
            </w:r>
            <w:r w:rsidR="00E607A5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D</w:t>
            </w:r>
            <w:r w:rsidRPr="00E82DF1"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 xml:space="preserve"> students to achieve their academic potential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/>
              </w:rPr>
              <w:t>.</w:t>
            </w:r>
          </w:p>
          <w:p w14:paraId="617110B6" w14:textId="3D072A3B" w:rsidR="00E23A06" w:rsidRPr="00E82DF1" w:rsidRDefault="00E23A06" w:rsidP="00A44A9D">
            <w:pPr>
              <w:pStyle w:val="4Bulletedcopyblue"/>
              <w:numPr>
                <w:ilvl w:val="0"/>
                <w:numId w:val="2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Develop</w:t>
            </w:r>
            <w:r w:rsidR="00AE5C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ing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embed</w:t>
            </w:r>
            <w:r w:rsidR="00AE5C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ding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specialist provision for students with recognised special educational needs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499B0B88" w14:textId="5509F683" w:rsidR="00E23A06" w:rsidRPr="00E82DF1" w:rsidRDefault="00E23A06" w:rsidP="00A44A9D">
            <w:pPr>
              <w:pStyle w:val="4Bulletedcopyblue"/>
              <w:numPr>
                <w:ilvl w:val="0"/>
                <w:numId w:val="28"/>
              </w:numPr>
              <w:spacing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Complet</w:t>
            </w:r>
            <w:r w:rsidR="00AE5C3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ing</w:t>
            </w:r>
            <w:r w:rsidRPr="00E82DF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all necessary applications and information required to attract additional funding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5C162C15" w14:textId="5DE1C62D" w:rsidR="00E23A06" w:rsidRPr="00613DDB" w:rsidRDefault="00E23A06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E82DF1">
              <w:rPr>
                <w:rFonts w:cstheme="minorHAnsi"/>
              </w:rPr>
              <w:t xml:space="preserve">Advising on the deployment of the </w:t>
            </w:r>
            <w:r w:rsidR="00255C69">
              <w:rPr>
                <w:rFonts w:cstheme="minorHAnsi"/>
              </w:rPr>
              <w:t>S</w:t>
            </w:r>
            <w:r w:rsidRPr="00E82DF1">
              <w:rPr>
                <w:rFonts w:cstheme="minorHAnsi"/>
              </w:rPr>
              <w:t>chool</w:t>
            </w:r>
            <w:r w:rsidR="00293A6E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s</w:t>
            </w:r>
            <w:r w:rsidRPr="00E82DF1">
              <w:rPr>
                <w:rFonts w:cstheme="minorHAnsi"/>
              </w:rPr>
              <w:t xml:space="preserve"> delegated budget and other resources to meet </w:t>
            </w:r>
            <w:r w:rsidR="003529D4">
              <w:rPr>
                <w:rFonts w:cstheme="minorHAnsi"/>
              </w:rPr>
              <w:t>student</w:t>
            </w:r>
            <w:r w:rsidRPr="00E82DF1">
              <w:rPr>
                <w:rFonts w:cstheme="minorHAnsi"/>
              </w:rPr>
              <w:t>s</w:t>
            </w:r>
            <w:r w:rsidR="003529D4">
              <w:rPr>
                <w:rFonts w:cstheme="minorHAnsi"/>
              </w:rPr>
              <w:t>’</w:t>
            </w:r>
            <w:r w:rsidRPr="00E82DF1">
              <w:rPr>
                <w:rFonts w:cstheme="minorHAnsi"/>
              </w:rPr>
              <w:t xml:space="preserve"> needs effectively, including monitoring the intent, implementation and impact based on current cohort’s identified special educational need</w:t>
            </w:r>
            <w:r>
              <w:rPr>
                <w:rFonts w:cstheme="minorHAnsi"/>
              </w:rPr>
              <w:t>.</w:t>
            </w:r>
            <w:r w:rsidR="00613DDB">
              <w:rPr>
                <w:rFonts w:cstheme="minorHAnsi"/>
              </w:rPr>
              <w:t xml:space="preserve"> </w:t>
            </w:r>
            <w:r w:rsidR="00613DDB" w:rsidRPr="005357D1">
              <w:rPr>
                <w:rFonts w:cstheme="minorHAnsi"/>
              </w:rPr>
              <w:t>Manage SEN</w:t>
            </w:r>
            <w:r w:rsidR="00613DDB">
              <w:rPr>
                <w:rFonts w:cstheme="minorHAnsi"/>
              </w:rPr>
              <w:t>D</w:t>
            </w:r>
            <w:r w:rsidR="00613DDB" w:rsidRPr="005357D1">
              <w:rPr>
                <w:rFonts w:cstheme="minorHAnsi"/>
              </w:rPr>
              <w:t xml:space="preserve"> resources and budget.</w:t>
            </w:r>
          </w:p>
          <w:p w14:paraId="59A60D00" w14:textId="0E9531AD" w:rsidR="00E23A06" w:rsidRPr="00A44A9D" w:rsidRDefault="00E23A06" w:rsidP="00A44A9D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E82DF1">
              <w:rPr>
                <w:rFonts w:asciiTheme="minorHAnsi" w:hAnsiTheme="minorHAnsi" w:cstheme="minorHAnsi"/>
              </w:rPr>
              <w:t>Work</w:t>
            </w:r>
            <w:r w:rsidR="00255C69">
              <w:rPr>
                <w:rFonts w:asciiTheme="minorHAnsi" w:hAnsiTheme="minorHAnsi" w:cstheme="minorHAnsi"/>
              </w:rPr>
              <w:t>ing</w:t>
            </w:r>
            <w:r w:rsidRPr="00E82DF1">
              <w:rPr>
                <w:rFonts w:asciiTheme="minorHAnsi" w:hAnsiTheme="minorHAnsi" w:cstheme="minorHAnsi"/>
              </w:rPr>
              <w:t xml:space="preserve"> closely with the DSL and the Designated Teacher when </w:t>
            </w:r>
            <w:r w:rsidR="003529D4">
              <w:rPr>
                <w:rFonts w:asciiTheme="minorHAnsi" w:hAnsiTheme="minorHAnsi" w:cstheme="minorHAnsi"/>
              </w:rPr>
              <w:t>student</w:t>
            </w:r>
            <w:r w:rsidRPr="00E82DF1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they oversee</w:t>
            </w:r>
            <w:r w:rsidRPr="00E82DF1">
              <w:rPr>
                <w:rFonts w:asciiTheme="minorHAnsi" w:hAnsiTheme="minorHAnsi" w:cstheme="minorHAnsi"/>
              </w:rPr>
              <w:t xml:space="preserve"> also have SEND</w:t>
            </w:r>
            <w:r w:rsidR="00A44A9D">
              <w:rPr>
                <w:rFonts w:asciiTheme="minorHAnsi" w:hAnsiTheme="minorHAnsi" w:cstheme="minorHAnsi"/>
              </w:rPr>
              <w:t>, e</w:t>
            </w:r>
            <w:r w:rsidR="00A44A9D" w:rsidRPr="00B910C0">
              <w:rPr>
                <w:rFonts w:ascii="Calibri" w:hAnsi="Calibri" w:cs="Calibri"/>
              </w:rPr>
              <w:t xml:space="preserve">nsuring that all SEND </w:t>
            </w:r>
            <w:r w:rsidR="00A44A9D">
              <w:rPr>
                <w:rFonts w:ascii="Calibri" w:hAnsi="Calibri" w:cs="Calibri"/>
              </w:rPr>
              <w:t>student</w:t>
            </w:r>
            <w:r w:rsidR="00A44A9D" w:rsidRPr="00B910C0">
              <w:rPr>
                <w:rFonts w:ascii="Calibri" w:hAnsi="Calibri" w:cs="Calibri"/>
              </w:rPr>
              <w:t>s are supported in line with KCSiE</w:t>
            </w:r>
            <w:r w:rsidR="00A44A9D">
              <w:rPr>
                <w:rFonts w:ascii="Calibri" w:hAnsi="Calibri" w:cs="Calibri"/>
              </w:rPr>
              <w:t>.</w:t>
            </w:r>
          </w:p>
          <w:p w14:paraId="72D4F959" w14:textId="199B350B" w:rsidR="00087D7F" w:rsidRPr="00CB30A9" w:rsidRDefault="00087D7F" w:rsidP="00CB30A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87D7F">
              <w:rPr>
                <w:rFonts w:cstheme="minorHAnsi"/>
              </w:rPr>
              <w:t>roviding CPD to school staff</w:t>
            </w:r>
            <w:r>
              <w:rPr>
                <w:rFonts w:cstheme="minorHAnsi"/>
              </w:rPr>
              <w:t>,</w:t>
            </w:r>
            <w:r w:rsidRPr="00087D7F">
              <w:rPr>
                <w:rFonts w:cstheme="minorHAnsi"/>
              </w:rPr>
              <w:t xml:space="preserve"> to support them to </w:t>
            </w:r>
            <w:r w:rsidR="00A44A9D" w:rsidRPr="005357D1">
              <w:rPr>
                <w:rFonts w:cstheme="minorHAnsi"/>
              </w:rPr>
              <w:t>deliver an exceptional Quality of Education for SEND students.</w:t>
            </w:r>
          </w:p>
          <w:p w14:paraId="3D23CDDD" w14:textId="77777777" w:rsidR="00A44A9D" w:rsidRPr="005357D1" w:rsidRDefault="00A44A9D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Review the education, health and care plans with parents/carers and the student.</w:t>
            </w:r>
          </w:p>
          <w:p w14:paraId="171C8B97" w14:textId="6CF1DDA3" w:rsidR="00A44A9D" w:rsidRPr="00A44A9D" w:rsidRDefault="00A44A9D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Communicate regularly, effectively and sensitively with parents/carers of SEN students.</w:t>
            </w:r>
          </w:p>
          <w:p w14:paraId="524D9E01" w14:textId="5E1024BA" w:rsidR="00E23A06" w:rsidRPr="00E82DF1" w:rsidRDefault="00C5423F" w:rsidP="00A44A9D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23A06" w:rsidRPr="00E82DF1">
              <w:rPr>
                <w:rFonts w:asciiTheme="minorHAnsi" w:hAnsiTheme="minorHAnsi" w:cstheme="minorHAnsi"/>
              </w:rPr>
              <w:t>romot</w:t>
            </w:r>
            <w:r w:rsidR="00E233BE">
              <w:rPr>
                <w:rFonts w:asciiTheme="minorHAnsi" w:hAnsiTheme="minorHAnsi" w:cstheme="minorHAnsi"/>
              </w:rPr>
              <w:t>ing</w:t>
            </w:r>
            <w:r w:rsidR="00E23A06" w:rsidRPr="00E82DF1">
              <w:rPr>
                <w:rFonts w:asciiTheme="minorHAnsi" w:hAnsiTheme="minorHAnsi" w:cstheme="minorHAnsi"/>
              </w:rPr>
              <w:t xml:space="preserve"> a positive image to all, through ways of working and in communication with others</w:t>
            </w:r>
            <w:r w:rsidR="00E23A06">
              <w:rPr>
                <w:rFonts w:asciiTheme="minorHAnsi" w:hAnsiTheme="minorHAnsi" w:cstheme="minorHAnsi"/>
              </w:rPr>
              <w:t>.</w:t>
            </w:r>
          </w:p>
          <w:p w14:paraId="06B36083" w14:textId="23CCC2CB" w:rsidR="00E23A06" w:rsidRPr="00B910C0" w:rsidRDefault="00C5423F" w:rsidP="00A44A9D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E23A06">
              <w:rPr>
                <w:rFonts w:asciiTheme="minorHAnsi" w:hAnsiTheme="minorHAnsi" w:cstheme="minorHAnsi"/>
              </w:rPr>
              <w:t>ead</w:t>
            </w:r>
            <w:r w:rsidR="00E233BE">
              <w:rPr>
                <w:rFonts w:asciiTheme="minorHAnsi" w:hAnsiTheme="minorHAnsi" w:cstheme="minorHAnsi"/>
              </w:rPr>
              <w:t>ing</w:t>
            </w:r>
            <w:r w:rsidR="00E23A06">
              <w:rPr>
                <w:rFonts w:asciiTheme="minorHAnsi" w:hAnsiTheme="minorHAnsi" w:cstheme="minorHAnsi"/>
              </w:rPr>
              <w:t xml:space="preserve">, </w:t>
            </w:r>
            <w:r w:rsidR="00E23A06" w:rsidRPr="00E82DF1">
              <w:rPr>
                <w:rFonts w:asciiTheme="minorHAnsi" w:hAnsiTheme="minorHAnsi" w:cstheme="minorHAnsi"/>
              </w:rPr>
              <w:t>liais</w:t>
            </w:r>
            <w:r w:rsidR="00E233BE">
              <w:rPr>
                <w:rFonts w:asciiTheme="minorHAnsi" w:hAnsiTheme="minorHAnsi" w:cstheme="minorHAnsi"/>
              </w:rPr>
              <w:t>ing</w:t>
            </w:r>
            <w:r w:rsidR="00E23A06" w:rsidRPr="00E82DF1">
              <w:rPr>
                <w:rFonts w:asciiTheme="minorHAnsi" w:hAnsiTheme="minorHAnsi" w:cstheme="minorHAnsi"/>
              </w:rPr>
              <w:t xml:space="preserve"> and communicat</w:t>
            </w:r>
            <w:r w:rsidR="00E233BE">
              <w:rPr>
                <w:rFonts w:asciiTheme="minorHAnsi" w:hAnsiTheme="minorHAnsi" w:cstheme="minorHAnsi"/>
              </w:rPr>
              <w:t>ing</w:t>
            </w:r>
            <w:r w:rsidR="00E23A06" w:rsidRPr="00E82DF1">
              <w:rPr>
                <w:rFonts w:asciiTheme="minorHAnsi" w:hAnsiTheme="minorHAnsi" w:cstheme="minorHAnsi"/>
              </w:rPr>
              <w:t xml:space="preserve"> </w:t>
            </w:r>
            <w:r w:rsidR="00E23A06" w:rsidRPr="00B910C0">
              <w:rPr>
                <w:rFonts w:ascii="Calibri" w:hAnsi="Calibri" w:cs="Calibri"/>
              </w:rPr>
              <w:t>effectively and efficiently with others and ensur</w:t>
            </w:r>
            <w:r w:rsidR="00E233BE">
              <w:rPr>
                <w:rFonts w:ascii="Calibri" w:hAnsi="Calibri" w:cs="Calibri"/>
              </w:rPr>
              <w:t>ing</w:t>
            </w:r>
            <w:r w:rsidR="00E23A06" w:rsidRPr="00B910C0">
              <w:rPr>
                <w:rFonts w:ascii="Calibri" w:hAnsi="Calibri" w:cs="Calibri"/>
              </w:rPr>
              <w:t xml:space="preserve"> coordination of activities and approach</w:t>
            </w:r>
            <w:r w:rsidR="00E233BE">
              <w:rPr>
                <w:rFonts w:ascii="Calibri" w:hAnsi="Calibri" w:cs="Calibri"/>
              </w:rPr>
              <w:t>es</w:t>
            </w:r>
            <w:r w:rsidR="00E23A06" w:rsidRPr="00B910C0">
              <w:rPr>
                <w:rFonts w:ascii="Calibri" w:hAnsi="Calibri" w:cs="Calibri"/>
              </w:rPr>
              <w:t>.</w:t>
            </w:r>
          </w:p>
          <w:p w14:paraId="7DBDED25" w14:textId="4BE5663C" w:rsidR="00B910C0" w:rsidRDefault="00C5423F" w:rsidP="00A44A9D">
            <w:pPr>
              <w:pStyle w:val="NoSpacing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 w:rsidRPr="00B910C0">
              <w:rPr>
                <w:rFonts w:ascii="Calibri" w:hAnsi="Calibri" w:cs="Calibri"/>
              </w:rPr>
              <w:t>S</w:t>
            </w:r>
            <w:r w:rsidR="00E23A06" w:rsidRPr="00B910C0">
              <w:rPr>
                <w:rFonts w:ascii="Calibri" w:hAnsi="Calibri" w:cs="Calibri"/>
              </w:rPr>
              <w:t>upport</w:t>
            </w:r>
            <w:r w:rsidR="00E233BE">
              <w:rPr>
                <w:rFonts w:ascii="Calibri" w:hAnsi="Calibri" w:cs="Calibri"/>
              </w:rPr>
              <w:t>ing</w:t>
            </w:r>
            <w:r w:rsidR="00E23A06" w:rsidRPr="00B910C0">
              <w:rPr>
                <w:rFonts w:ascii="Calibri" w:hAnsi="Calibri" w:cs="Calibri"/>
              </w:rPr>
              <w:t xml:space="preserve"> all staff in identifying, assessing and planning to meet the needs of all students who are identified as SEND.</w:t>
            </w:r>
          </w:p>
          <w:p w14:paraId="1510CD59" w14:textId="17F5E2C0" w:rsidR="00A44A9D" w:rsidRPr="00A44A9D" w:rsidRDefault="00A44A9D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Organise and monitor EAA in consultation with the Exams Officers.</w:t>
            </w:r>
          </w:p>
          <w:p w14:paraId="69F4FE45" w14:textId="0531C4C2" w:rsidR="004D2393" w:rsidRDefault="00E23A06" w:rsidP="00A44A9D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813A3">
              <w:rPr>
                <w:rFonts w:asciiTheme="minorHAnsi" w:hAnsiTheme="minorHAnsi" w:cstheme="minorHAnsi"/>
              </w:rPr>
              <w:t>Maintain</w:t>
            </w:r>
            <w:r w:rsidR="00592C5B">
              <w:rPr>
                <w:rFonts w:asciiTheme="minorHAnsi" w:hAnsiTheme="minorHAnsi" w:cstheme="minorHAnsi"/>
              </w:rPr>
              <w:t>ing</w:t>
            </w:r>
            <w:r w:rsidRPr="006813A3">
              <w:rPr>
                <w:rFonts w:asciiTheme="minorHAnsi" w:hAnsiTheme="minorHAnsi" w:cstheme="minorHAnsi"/>
              </w:rPr>
              <w:t xml:space="preserve"> good public relation</w:t>
            </w:r>
            <w:r w:rsidR="004D2393">
              <w:rPr>
                <w:rFonts w:asciiTheme="minorHAnsi" w:hAnsiTheme="minorHAnsi" w:cstheme="minorHAnsi"/>
              </w:rPr>
              <w:t>s</w:t>
            </w:r>
          </w:p>
          <w:p w14:paraId="5BDD03B3" w14:textId="3D2281F0" w:rsidR="004D2393" w:rsidRDefault="004D2393" w:rsidP="00A44A9D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E23A06" w:rsidRPr="006813A3">
              <w:rPr>
                <w:rFonts w:asciiTheme="minorHAnsi" w:hAnsiTheme="minorHAnsi" w:cstheme="minorHAnsi"/>
              </w:rPr>
              <w:t>ssist</w:t>
            </w:r>
            <w:r w:rsidR="00592C5B">
              <w:rPr>
                <w:rFonts w:asciiTheme="minorHAnsi" w:hAnsiTheme="minorHAnsi" w:cstheme="minorHAnsi"/>
              </w:rPr>
              <w:t>ing</w:t>
            </w:r>
            <w:r w:rsidR="00E23A06" w:rsidRPr="006813A3">
              <w:rPr>
                <w:rFonts w:asciiTheme="minorHAnsi" w:hAnsiTheme="minorHAnsi" w:cstheme="minorHAnsi"/>
              </w:rPr>
              <w:t xml:space="preserve"> visitors to the </w:t>
            </w:r>
            <w:r w:rsidR="00592C5B">
              <w:rPr>
                <w:rFonts w:asciiTheme="minorHAnsi" w:hAnsiTheme="minorHAnsi" w:cstheme="minorHAnsi"/>
              </w:rPr>
              <w:t>S</w:t>
            </w:r>
            <w:r w:rsidR="00E23A06" w:rsidRPr="006813A3">
              <w:rPr>
                <w:rFonts w:asciiTheme="minorHAnsi" w:hAnsiTheme="minorHAnsi" w:cstheme="minorHAnsi"/>
              </w:rPr>
              <w:t xml:space="preserve">chool in a calm, sympathetic, efficient and helpful way </w:t>
            </w:r>
          </w:p>
          <w:p w14:paraId="3217CBCC" w14:textId="44319E16" w:rsidR="000B2D0C" w:rsidRDefault="004D2393" w:rsidP="00A44A9D">
            <w:pPr>
              <w:pStyle w:val="NoSpacing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E23A06" w:rsidRPr="006813A3">
              <w:rPr>
                <w:rFonts w:asciiTheme="minorHAnsi" w:hAnsiTheme="minorHAnsi" w:cstheme="minorHAnsi"/>
              </w:rPr>
              <w:t>romot</w:t>
            </w:r>
            <w:r>
              <w:rPr>
                <w:rFonts w:asciiTheme="minorHAnsi" w:hAnsiTheme="minorHAnsi" w:cstheme="minorHAnsi"/>
              </w:rPr>
              <w:t>e</w:t>
            </w:r>
            <w:r w:rsidR="00E23A06" w:rsidRPr="006813A3">
              <w:rPr>
                <w:rFonts w:asciiTheme="minorHAnsi" w:hAnsiTheme="minorHAnsi" w:cstheme="minorHAnsi"/>
              </w:rPr>
              <w:t xml:space="preserve"> a positive image of the </w:t>
            </w:r>
            <w:r w:rsidR="00592C5B">
              <w:rPr>
                <w:rFonts w:asciiTheme="minorHAnsi" w:hAnsiTheme="minorHAnsi" w:cstheme="minorHAnsi"/>
              </w:rPr>
              <w:t>S</w:t>
            </w:r>
            <w:r w:rsidR="00E23A06" w:rsidRPr="006813A3">
              <w:rPr>
                <w:rFonts w:asciiTheme="minorHAnsi" w:hAnsiTheme="minorHAnsi" w:cstheme="minorHAnsi"/>
              </w:rPr>
              <w:t>chool</w:t>
            </w:r>
          </w:p>
          <w:p w14:paraId="55F2155F" w14:textId="6FDA9D46" w:rsidR="007C63E0" w:rsidRPr="00CB30A9" w:rsidRDefault="007C63E0" w:rsidP="00CB30A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Work</w:t>
            </w:r>
            <w:r w:rsidR="00592C5B">
              <w:rPr>
                <w:rFonts w:cstheme="minorHAnsi"/>
              </w:rPr>
              <w:t>ing</w:t>
            </w:r>
            <w:r w:rsidRPr="005357D1">
              <w:rPr>
                <w:rFonts w:cstheme="minorHAnsi"/>
              </w:rPr>
              <w:t xml:space="preserve"> with primary providers, other schools within and outside </w:t>
            </w:r>
            <w:r w:rsidR="00764254">
              <w:rPr>
                <w:rFonts w:cstheme="minorHAnsi"/>
              </w:rPr>
              <w:t xml:space="preserve">of </w:t>
            </w:r>
            <w:r w:rsidRPr="005357D1">
              <w:rPr>
                <w:rFonts w:cstheme="minorHAnsi"/>
              </w:rPr>
              <w:t>the Trust, educational psychologists, health professionals, and other agencies with a SEN</w:t>
            </w:r>
            <w:r w:rsidR="00293A6E">
              <w:rPr>
                <w:rFonts w:cstheme="minorHAnsi"/>
              </w:rPr>
              <w:t>D</w:t>
            </w:r>
            <w:r w:rsidRPr="005357D1">
              <w:rPr>
                <w:rFonts w:cstheme="minorHAnsi"/>
              </w:rPr>
              <w:t xml:space="preserve"> focus.</w:t>
            </w:r>
            <w:r w:rsidR="00CB30A9">
              <w:rPr>
                <w:rFonts w:cstheme="minorHAnsi"/>
              </w:rPr>
              <w:t xml:space="preserve"> </w:t>
            </w:r>
            <w:r w:rsidR="00CB30A9" w:rsidRPr="00EA09FD">
              <w:rPr>
                <w:rFonts w:cstheme="minorHAnsi"/>
              </w:rPr>
              <w:t>Work alongside relevant staff to ensure effective sharing of key SEN</w:t>
            </w:r>
            <w:r w:rsidR="00CB30A9">
              <w:rPr>
                <w:rFonts w:cstheme="minorHAnsi"/>
              </w:rPr>
              <w:t>D</w:t>
            </w:r>
            <w:r w:rsidR="00CB30A9" w:rsidRPr="00EA09FD">
              <w:rPr>
                <w:rFonts w:cstheme="minorHAnsi"/>
              </w:rPr>
              <w:t xml:space="preserve"> information at points of transition including joining at secondary and post-16.</w:t>
            </w:r>
          </w:p>
          <w:p w14:paraId="7F349C81" w14:textId="33649224" w:rsidR="007C63E0" w:rsidRDefault="007C63E0" w:rsidP="00A44A9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Be</w:t>
            </w:r>
            <w:r w:rsidR="00764254">
              <w:rPr>
                <w:rFonts w:cstheme="minorHAnsi"/>
              </w:rPr>
              <w:t>ing</w:t>
            </w:r>
            <w:r w:rsidRPr="005357D1">
              <w:rPr>
                <w:rFonts w:cstheme="minorHAnsi"/>
              </w:rPr>
              <w:t xml:space="preserve"> a key point of contact for external agencies.</w:t>
            </w:r>
          </w:p>
          <w:p w14:paraId="1D1FFC02" w14:textId="064BB3CF" w:rsidR="00B910C0" w:rsidRPr="007C63E0" w:rsidRDefault="00B910C0" w:rsidP="00B910C0">
            <w:pPr>
              <w:pStyle w:val="ListParagraph"/>
              <w:ind w:left="360"/>
              <w:rPr>
                <w:rFonts w:cstheme="minorHAnsi"/>
              </w:rPr>
            </w:pPr>
          </w:p>
        </w:tc>
      </w:tr>
      <w:tr w:rsidR="000E2723" w:rsidRPr="00564E92" w14:paraId="50240D36" w14:textId="77777777" w:rsidTr="000E2723">
        <w:trPr>
          <w:trHeight w:val="428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4D0E22" w14:textId="294939B4" w:rsidR="000E2723" w:rsidRPr="000E2723" w:rsidRDefault="000E2723" w:rsidP="000E272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27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Trust Responsibilities</w:t>
            </w:r>
          </w:p>
        </w:tc>
      </w:tr>
      <w:tr w:rsidR="000E2723" w:rsidRPr="00564E92" w14:paraId="76A3AA24" w14:textId="77777777" w:rsidTr="004F511F">
        <w:trPr>
          <w:trHeight w:val="170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9DC68" w14:textId="77777777" w:rsidR="000E2723" w:rsidRDefault="000E2723" w:rsidP="000B2D0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3A8790AD" w14:textId="63A319BB" w:rsidR="000E2723" w:rsidRPr="00B910C0" w:rsidRDefault="000E2723" w:rsidP="000B2D0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As Synergy SEND Lead you will provide strategic leadership, oversight, and operational support for the effective management of Special Educational Needs and Disabilities (SEND) across the Trus</w:t>
            </w:r>
            <w:r w:rsidR="00B910C0" w:rsidRPr="00B910C0">
              <w:rPr>
                <w:rFonts w:asciiTheme="minorHAnsi" w:hAnsiTheme="minorHAnsi" w:cstheme="minorHAnsi"/>
              </w:rPr>
              <w:t>t</w:t>
            </w:r>
            <w:r w:rsidR="00440BB9">
              <w:rPr>
                <w:rFonts w:asciiTheme="minorHAnsi" w:hAnsiTheme="minorHAnsi" w:cstheme="minorHAnsi"/>
              </w:rPr>
              <w:t>.</w:t>
            </w:r>
          </w:p>
          <w:p w14:paraId="0637A1B9" w14:textId="77777777" w:rsidR="00B910C0" w:rsidRPr="00B910C0" w:rsidRDefault="00B910C0" w:rsidP="000B2D0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46A0A60E" w14:textId="1FC7B16D" w:rsidR="000E2723" w:rsidRP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To provide Trust-wide operational leadership for SEND</w:t>
            </w:r>
            <w:r w:rsidR="00B910C0">
              <w:rPr>
                <w:rFonts w:asciiTheme="minorHAnsi" w:hAnsiTheme="minorHAnsi" w:cstheme="minorHAnsi"/>
              </w:rPr>
              <w:t>.</w:t>
            </w:r>
          </w:p>
          <w:p w14:paraId="221A27B4" w14:textId="4AEE6D00" w:rsidR="000E2723" w:rsidRP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To develop and implement a Trust SEND strategy into consistent practice across schools</w:t>
            </w:r>
            <w:r w:rsidR="00B910C0">
              <w:rPr>
                <w:rFonts w:asciiTheme="minorHAnsi" w:hAnsiTheme="minorHAnsi" w:cstheme="minorHAnsi"/>
              </w:rPr>
              <w:t>.</w:t>
            </w:r>
          </w:p>
          <w:p w14:paraId="28F02C56" w14:textId="37D88100" w:rsidR="00B910C0" w:rsidRP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To build SEND leadership capacity in all schools</w:t>
            </w:r>
            <w:r w:rsidR="00B910C0">
              <w:rPr>
                <w:rFonts w:asciiTheme="minorHAnsi" w:hAnsiTheme="minorHAnsi" w:cstheme="minorHAnsi"/>
              </w:rPr>
              <w:t>.</w:t>
            </w:r>
          </w:p>
          <w:p w14:paraId="4566AF78" w14:textId="07D9BB57" w:rsidR="00B910C0" w:rsidRDefault="000E2723" w:rsidP="000B2D0C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Quality assurance of operational SEND provision across all schools</w:t>
            </w:r>
            <w:r w:rsidR="00B910C0">
              <w:rPr>
                <w:rFonts w:asciiTheme="minorHAnsi" w:hAnsiTheme="minorHAnsi" w:cstheme="minorHAnsi"/>
              </w:rPr>
              <w:t>.</w:t>
            </w:r>
          </w:p>
          <w:p w14:paraId="0A042661" w14:textId="45C22628" w:rsidR="00B910C0" w:rsidRDefault="000E2723" w:rsidP="000B2D0C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Provid</w:t>
            </w:r>
            <w:r w:rsidR="00440BB9">
              <w:rPr>
                <w:rFonts w:asciiTheme="minorHAnsi" w:hAnsiTheme="minorHAnsi" w:cstheme="minorHAnsi"/>
              </w:rPr>
              <w:t>e</w:t>
            </w:r>
            <w:r w:rsidRPr="00B910C0">
              <w:rPr>
                <w:rFonts w:asciiTheme="minorHAnsi" w:hAnsiTheme="minorHAnsi" w:cstheme="minorHAnsi"/>
              </w:rPr>
              <w:t xml:space="preserve"> professional support and challenge to SEN</w:t>
            </w:r>
            <w:r w:rsidR="00293A6E">
              <w:rPr>
                <w:rFonts w:asciiTheme="minorHAnsi" w:hAnsiTheme="minorHAnsi" w:cstheme="minorHAnsi"/>
              </w:rPr>
              <w:t>D</w:t>
            </w:r>
            <w:r w:rsidRPr="00B910C0">
              <w:rPr>
                <w:rFonts w:asciiTheme="minorHAnsi" w:hAnsiTheme="minorHAnsi" w:cstheme="minorHAnsi"/>
              </w:rPr>
              <w:t>Cos.</w:t>
            </w:r>
          </w:p>
          <w:p w14:paraId="39E82589" w14:textId="365F99EF" w:rsidR="00B910C0" w:rsidRDefault="000E2723" w:rsidP="000B2D0C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Work with senior Trust leaders to address systemic SEND challenges.</w:t>
            </w:r>
          </w:p>
          <w:p w14:paraId="6076F5E8" w14:textId="0CA137F3" w:rsidR="00B910C0" w:rsidRDefault="000E2723" w:rsidP="000B2D0C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 xml:space="preserve">Work alongside </w:t>
            </w:r>
            <w:r w:rsidR="00B910C0">
              <w:rPr>
                <w:rFonts w:asciiTheme="minorHAnsi" w:hAnsiTheme="minorHAnsi" w:cstheme="minorHAnsi"/>
              </w:rPr>
              <w:t>all appropriate p</w:t>
            </w:r>
            <w:r w:rsidRPr="00B910C0">
              <w:rPr>
                <w:rFonts w:asciiTheme="minorHAnsi" w:hAnsiTheme="minorHAnsi" w:cstheme="minorHAnsi"/>
              </w:rPr>
              <w:t>artners to</w:t>
            </w:r>
            <w:r w:rsidR="00B910C0">
              <w:rPr>
                <w:rFonts w:asciiTheme="minorHAnsi" w:hAnsiTheme="minorHAnsi" w:cstheme="minorHAnsi"/>
              </w:rPr>
              <w:t xml:space="preserve"> </w:t>
            </w:r>
            <w:r w:rsidRPr="00B910C0">
              <w:rPr>
                <w:rFonts w:asciiTheme="minorHAnsi" w:hAnsiTheme="minorHAnsi" w:cstheme="minorHAnsi"/>
              </w:rPr>
              <w:t>d</w:t>
            </w:r>
            <w:r w:rsidR="00B910C0">
              <w:rPr>
                <w:rFonts w:asciiTheme="minorHAnsi" w:hAnsiTheme="minorHAnsi" w:cstheme="minorHAnsi"/>
              </w:rPr>
              <w:t>evelop provision.</w:t>
            </w:r>
          </w:p>
          <w:p w14:paraId="56C8FFBD" w14:textId="3FBDF714" w:rsid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 xml:space="preserve">Lead SEND moderation activities on SEND priorities and prepare termly reports for the Trustees. </w:t>
            </w:r>
          </w:p>
          <w:p w14:paraId="097B1ADF" w14:textId="46F4A005" w:rsid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 xml:space="preserve">Lead </w:t>
            </w:r>
            <w:r w:rsidR="00B910C0">
              <w:rPr>
                <w:rFonts w:asciiTheme="minorHAnsi" w:hAnsiTheme="minorHAnsi" w:cstheme="minorHAnsi"/>
              </w:rPr>
              <w:t xml:space="preserve">the Synergy </w:t>
            </w:r>
            <w:r w:rsidRPr="00B910C0">
              <w:rPr>
                <w:rFonts w:asciiTheme="minorHAnsi" w:hAnsiTheme="minorHAnsi" w:cstheme="minorHAnsi"/>
              </w:rPr>
              <w:t>SENDCo network</w:t>
            </w:r>
            <w:r w:rsidR="00B910C0">
              <w:rPr>
                <w:rFonts w:asciiTheme="minorHAnsi" w:hAnsiTheme="minorHAnsi" w:cstheme="minorHAnsi"/>
              </w:rPr>
              <w:t>.</w:t>
            </w:r>
          </w:p>
          <w:p w14:paraId="240748DA" w14:textId="77777777" w:rsid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Provide mentoring and CPD for SEND staff at all levels.</w:t>
            </w:r>
          </w:p>
          <w:p w14:paraId="58898835" w14:textId="154D4756" w:rsid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 xml:space="preserve">Monitor SEND data, including outcomes for </w:t>
            </w:r>
            <w:r w:rsidR="003529D4">
              <w:rPr>
                <w:rFonts w:asciiTheme="minorHAnsi" w:hAnsiTheme="minorHAnsi" w:cstheme="minorHAnsi"/>
              </w:rPr>
              <w:t>student</w:t>
            </w:r>
            <w:r w:rsidRPr="00B910C0">
              <w:rPr>
                <w:rFonts w:asciiTheme="minorHAnsi" w:hAnsiTheme="minorHAnsi" w:cstheme="minorHAnsi"/>
              </w:rPr>
              <w:t>s at statutory points</w:t>
            </w:r>
            <w:r w:rsidR="00B910C0">
              <w:rPr>
                <w:rFonts w:asciiTheme="minorHAnsi" w:hAnsiTheme="minorHAnsi" w:cstheme="minorHAnsi"/>
              </w:rPr>
              <w:t>.</w:t>
            </w:r>
          </w:p>
          <w:p w14:paraId="36015D38" w14:textId="215D91F8" w:rsid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Monitor SEND data regarding behaviour</w:t>
            </w:r>
            <w:r w:rsidR="00B910C0">
              <w:rPr>
                <w:rFonts w:asciiTheme="minorHAnsi" w:hAnsiTheme="minorHAnsi" w:cstheme="minorHAnsi"/>
              </w:rPr>
              <w:t xml:space="preserve">, </w:t>
            </w:r>
            <w:r w:rsidRPr="00B910C0">
              <w:rPr>
                <w:rFonts w:asciiTheme="minorHAnsi" w:hAnsiTheme="minorHAnsi" w:cstheme="minorHAnsi"/>
              </w:rPr>
              <w:t>attendance</w:t>
            </w:r>
            <w:r w:rsidR="00B910C0">
              <w:rPr>
                <w:rFonts w:asciiTheme="minorHAnsi" w:hAnsiTheme="minorHAnsi" w:cstheme="minorHAnsi"/>
              </w:rPr>
              <w:t xml:space="preserve"> and progress.</w:t>
            </w:r>
          </w:p>
          <w:p w14:paraId="4E9B9A91" w14:textId="1DB58F5E" w:rsidR="000E2723" w:rsidRPr="00B910C0" w:rsidRDefault="000E2723" w:rsidP="00B910C0">
            <w:pPr>
              <w:pStyle w:val="NoSpacing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</w:rPr>
            </w:pPr>
            <w:r w:rsidRPr="00B910C0">
              <w:rPr>
                <w:rFonts w:asciiTheme="minorHAnsi" w:hAnsiTheme="minorHAnsi" w:cstheme="minorHAnsi"/>
              </w:rPr>
              <w:t>Support schools with sustainable resource deployment</w:t>
            </w:r>
            <w:r w:rsidR="00B910C0">
              <w:rPr>
                <w:rFonts w:asciiTheme="minorHAnsi" w:hAnsiTheme="minorHAnsi" w:cstheme="minorHAnsi"/>
              </w:rPr>
              <w:t>.</w:t>
            </w:r>
          </w:p>
          <w:p w14:paraId="4A27DF05" w14:textId="77777777" w:rsidR="000E2723" w:rsidRDefault="000E2723" w:rsidP="000B2D0C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14269CBB" w14:textId="77777777" w:rsidR="000E2723" w:rsidRDefault="000E2723" w:rsidP="00336BE6">
      <w:pPr>
        <w:tabs>
          <w:tab w:val="left" w:pos="4395"/>
        </w:tabs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</w:p>
    <w:p w14:paraId="1812E286" w14:textId="77777777" w:rsidR="00CB30A9" w:rsidRDefault="00CB30A9" w:rsidP="00336BE6">
      <w:pPr>
        <w:tabs>
          <w:tab w:val="left" w:pos="4395"/>
        </w:tabs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0B2D0C" w:rsidRPr="000424BD" w14:paraId="74A4C0BB" w14:textId="77777777" w:rsidTr="000920C2">
        <w:trPr>
          <w:cantSplit/>
          <w:trHeight w:val="170"/>
          <w:tblHeader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D40A91E" w14:textId="0CC58572" w:rsidR="000B2D0C" w:rsidRPr="000920C2" w:rsidRDefault="000B2D0C" w:rsidP="000920C2">
            <w:pPr>
              <w:autoSpaceDE w:val="0"/>
              <w:autoSpaceDN w:val="0"/>
              <w:spacing w:after="120"/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</w:pPr>
            <w:r w:rsidRPr="000920C2"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  <w:lastRenderedPageBreak/>
              <w:t>Other Responsibilities</w:t>
            </w:r>
          </w:p>
        </w:tc>
      </w:tr>
      <w:tr w:rsidR="000B2D0C" w:rsidRPr="00564E92" w14:paraId="07459B0C" w14:textId="77777777" w:rsidTr="004F511F">
        <w:trPr>
          <w:trHeight w:val="170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AF86" w14:textId="77777777" w:rsidR="000B2D0C" w:rsidRPr="005357D1" w:rsidRDefault="000B2D0C" w:rsidP="00367B91">
            <w:pPr>
              <w:pStyle w:val="NoSpacing"/>
              <w:rPr>
                <w:rFonts w:asciiTheme="minorHAnsi" w:hAnsiTheme="minorHAnsi" w:cstheme="minorHAnsi"/>
                <w:lang w:val="en-US" w:eastAsia="en-GB"/>
              </w:rPr>
            </w:pPr>
          </w:p>
          <w:p w14:paraId="3EEB813F" w14:textId="2B24EB7B" w:rsidR="003D71BA" w:rsidRPr="00E6536E" w:rsidRDefault="003D71BA" w:rsidP="00E6536E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E6536E">
              <w:rPr>
                <w:rFonts w:cstheme="minorHAnsi"/>
              </w:rPr>
              <w:t xml:space="preserve">Work with Senior Leadership Team to lead on SEND practice across </w:t>
            </w:r>
            <w:r w:rsidR="0017118C" w:rsidRPr="00E6536E">
              <w:rPr>
                <w:rFonts w:cstheme="minorHAnsi"/>
              </w:rPr>
              <w:t>Sheringham High School and Sixth Form.</w:t>
            </w:r>
            <w:r w:rsidR="0002482A" w:rsidRPr="00E6536E">
              <w:rPr>
                <w:rFonts w:cstheme="minorHAnsi"/>
              </w:rPr>
              <w:t xml:space="preserve"> </w:t>
            </w:r>
            <w:r w:rsidR="00E6536E">
              <w:rPr>
                <w:rFonts w:cstheme="minorHAnsi"/>
              </w:rPr>
              <w:t>Participate actively in SLT meetings, providing information and forward-thinking leadership on SEND policy and practice.</w:t>
            </w:r>
          </w:p>
          <w:p w14:paraId="7D30B2E0" w14:textId="5BE10BCD" w:rsidR="003D71BA" w:rsidRPr="005357D1" w:rsidRDefault="003D71BA" w:rsidP="00EB63D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Ensure th</w:t>
            </w:r>
            <w:r w:rsidR="00E6536E">
              <w:rPr>
                <w:rFonts w:cstheme="minorHAnsi"/>
              </w:rPr>
              <w:t xml:space="preserve">at the </w:t>
            </w:r>
            <w:r w:rsidRPr="005357D1">
              <w:rPr>
                <w:rFonts w:cstheme="minorHAnsi"/>
              </w:rPr>
              <w:t>objectives of th</w:t>
            </w:r>
            <w:r w:rsidR="00E6536E">
              <w:rPr>
                <w:rFonts w:cstheme="minorHAnsi"/>
              </w:rPr>
              <w:t>e SEND</w:t>
            </w:r>
            <w:r w:rsidRPr="005357D1">
              <w:rPr>
                <w:rFonts w:cstheme="minorHAnsi"/>
              </w:rPr>
              <w:t xml:space="preserve"> policy are reflected in the </w:t>
            </w:r>
            <w:r w:rsidR="00B46C1B">
              <w:rPr>
                <w:rFonts w:cstheme="minorHAnsi"/>
              </w:rPr>
              <w:t>S</w:t>
            </w:r>
            <w:r w:rsidRPr="005357D1">
              <w:rPr>
                <w:rFonts w:cstheme="minorHAnsi"/>
              </w:rPr>
              <w:t xml:space="preserve">chool </w:t>
            </w:r>
            <w:r w:rsidR="00B46C1B">
              <w:rPr>
                <w:rFonts w:cstheme="minorHAnsi"/>
              </w:rPr>
              <w:t>I</w:t>
            </w:r>
            <w:r w:rsidRPr="005357D1">
              <w:rPr>
                <w:rFonts w:cstheme="minorHAnsi"/>
              </w:rPr>
              <w:t xml:space="preserve">mprovement </w:t>
            </w:r>
            <w:r w:rsidR="00B46C1B">
              <w:rPr>
                <w:rFonts w:cstheme="minorHAnsi"/>
              </w:rPr>
              <w:t>P</w:t>
            </w:r>
            <w:r w:rsidRPr="005357D1">
              <w:rPr>
                <w:rFonts w:cstheme="minorHAnsi"/>
              </w:rPr>
              <w:t>lan.</w:t>
            </w:r>
          </w:p>
          <w:p w14:paraId="504B24F3" w14:textId="1D92EB50" w:rsidR="003D71BA" w:rsidRPr="005357D1" w:rsidRDefault="003D71BA" w:rsidP="00EB63D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 xml:space="preserve">Maintain an up-to-date knowledge of national and local initiatives which may affect the </w:t>
            </w:r>
            <w:r w:rsidR="00B46C1B">
              <w:rPr>
                <w:rFonts w:cstheme="minorHAnsi"/>
              </w:rPr>
              <w:t>S</w:t>
            </w:r>
            <w:r w:rsidRPr="005357D1">
              <w:rPr>
                <w:rFonts w:cstheme="minorHAnsi"/>
              </w:rPr>
              <w:t>chool’s policy and practice.</w:t>
            </w:r>
          </w:p>
          <w:p w14:paraId="6DD55591" w14:textId="77777777" w:rsidR="003D71BA" w:rsidRPr="005357D1" w:rsidRDefault="003D71BA" w:rsidP="00EB63D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Evaluate whether funding is being used effectively and propose changes to make use of funding more effective.</w:t>
            </w:r>
          </w:p>
          <w:p w14:paraId="20B36CBF" w14:textId="047A45D8" w:rsidR="003D71BA" w:rsidRPr="005357D1" w:rsidRDefault="003D71BA" w:rsidP="00EB63D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 xml:space="preserve">Prepare and review information the </w:t>
            </w:r>
            <w:r w:rsidR="002F103B">
              <w:rPr>
                <w:rFonts w:cstheme="minorHAnsi"/>
              </w:rPr>
              <w:t>G</w:t>
            </w:r>
            <w:r w:rsidRPr="005357D1">
              <w:rPr>
                <w:rFonts w:cstheme="minorHAnsi"/>
              </w:rPr>
              <w:t xml:space="preserve">overning </w:t>
            </w:r>
            <w:r w:rsidR="002F103B">
              <w:rPr>
                <w:rFonts w:cstheme="minorHAnsi"/>
              </w:rPr>
              <w:t>B</w:t>
            </w:r>
            <w:r w:rsidRPr="005357D1">
              <w:rPr>
                <w:rFonts w:cstheme="minorHAnsi"/>
              </w:rPr>
              <w:t>ody and Trust is required to publish.</w:t>
            </w:r>
          </w:p>
          <w:p w14:paraId="57B86F40" w14:textId="47C61B92" w:rsidR="003D71BA" w:rsidRPr="005357D1" w:rsidRDefault="003D71BA" w:rsidP="00EB63D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L</w:t>
            </w:r>
            <w:r w:rsidR="00A44A9D">
              <w:rPr>
                <w:rFonts w:cstheme="minorHAnsi"/>
              </w:rPr>
              <w:t>ine</w:t>
            </w:r>
            <w:r w:rsidRPr="005357D1">
              <w:rPr>
                <w:rFonts w:cstheme="minorHAnsi"/>
              </w:rPr>
              <w:t xml:space="preserve"> manage </w:t>
            </w:r>
            <w:r w:rsidR="00A44A9D">
              <w:rPr>
                <w:rFonts w:cstheme="minorHAnsi"/>
              </w:rPr>
              <w:t>L</w:t>
            </w:r>
            <w:r w:rsidRPr="005357D1">
              <w:rPr>
                <w:rFonts w:cstheme="minorHAnsi"/>
              </w:rPr>
              <w:t xml:space="preserve">earning </w:t>
            </w:r>
            <w:r w:rsidR="00A44A9D">
              <w:rPr>
                <w:rFonts w:cstheme="minorHAnsi"/>
              </w:rPr>
              <w:t>S</w:t>
            </w:r>
            <w:r w:rsidRPr="005357D1">
              <w:rPr>
                <w:rFonts w:cstheme="minorHAnsi"/>
              </w:rPr>
              <w:t xml:space="preserve">upport </w:t>
            </w:r>
            <w:r w:rsidR="00A44A9D">
              <w:rPr>
                <w:rFonts w:cstheme="minorHAnsi"/>
              </w:rPr>
              <w:t>A</w:t>
            </w:r>
            <w:r w:rsidRPr="005357D1">
              <w:rPr>
                <w:rFonts w:cstheme="minorHAnsi"/>
              </w:rPr>
              <w:t>ssistants</w:t>
            </w:r>
            <w:r w:rsidR="00A44A9D">
              <w:rPr>
                <w:rFonts w:cstheme="minorHAnsi"/>
              </w:rPr>
              <w:t xml:space="preserve"> and complete appraisal paperwork, setting appropriate goals and evaluating progress towards these.</w:t>
            </w:r>
          </w:p>
          <w:p w14:paraId="5990D925" w14:textId="77777777" w:rsidR="003D71BA" w:rsidRPr="005357D1" w:rsidRDefault="003D71BA" w:rsidP="00EB63D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5357D1">
              <w:rPr>
                <w:rFonts w:cstheme="minorHAnsi"/>
              </w:rPr>
              <w:t>Review staff performance on an ongoing basis and work closely with Senior Leadership Team.</w:t>
            </w:r>
          </w:p>
          <w:p w14:paraId="7F603E5E" w14:textId="77777777" w:rsidR="004F6A67" w:rsidRPr="005911DD" w:rsidRDefault="004F6A67" w:rsidP="004F6A67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5911DD">
              <w:rPr>
                <w:rFonts w:ascii="Calibri" w:hAnsi="Calibri" w:cs="Calibri"/>
              </w:rPr>
              <w:t>omply with any reasonable request from a manager to undertake work of a similar level that is not specified in this job description.</w:t>
            </w:r>
          </w:p>
          <w:p w14:paraId="4CBF8CAE" w14:textId="03D868BE" w:rsidR="004F6A67" w:rsidRDefault="004F6A67" w:rsidP="004F6A67">
            <w:pPr>
              <w:pStyle w:val="ListParagraph"/>
              <w:numPr>
                <w:ilvl w:val="0"/>
                <w:numId w:val="32"/>
              </w:numPr>
            </w:pPr>
            <w:r>
              <w:t xml:space="preserve">Attend staff training days as arranged on the </w:t>
            </w:r>
            <w:r w:rsidR="00DA47CB">
              <w:t>S</w:t>
            </w:r>
            <w:r>
              <w:t xml:space="preserve">chool </w:t>
            </w:r>
            <w:r w:rsidR="00DA47CB">
              <w:t>C</w:t>
            </w:r>
            <w:r>
              <w:t>alendar</w:t>
            </w:r>
            <w:r w:rsidR="00DA47CB">
              <w:t>.</w:t>
            </w:r>
          </w:p>
          <w:p w14:paraId="423D8ED0" w14:textId="77777777" w:rsidR="001666D8" w:rsidRDefault="001666D8" w:rsidP="001666D8">
            <w:pPr>
              <w:pStyle w:val="ListParagraph"/>
              <w:ind w:left="360"/>
            </w:pPr>
          </w:p>
          <w:p w14:paraId="6B84C394" w14:textId="77777777" w:rsidR="004F6A67" w:rsidRDefault="004F6A67" w:rsidP="001666D8">
            <w:pPr>
              <w:jc w:val="both"/>
              <w:rPr>
                <w:rFonts w:ascii="Calibri" w:hAnsi="Calibri" w:cs="Calibri"/>
              </w:rPr>
            </w:pPr>
            <w:r w:rsidRPr="001666D8">
              <w:rPr>
                <w:rFonts w:ascii="Calibri" w:hAnsi="Calibri" w:cs="Calibri"/>
              </w:rPr>
              <w:t>Whilst every effort has been made to explain the main duties and responsibilities of the post, each individual task undertaken may not be identified.</w:t>
            </w:r>
          </w:p>
          <w:p w14:paraId="73230075" w14:textId="0D433348" w:rsidR="00C33E6C" w:rsidRPr="001666D8" w:rsidRDefault="00C33E6C" w:rsidP="001666D8">
            <w:pPr>
              <w:jc w:val="both"/>
              <w:rPr>
                <w:rFonts w:ascii="Calibri" w:hAnsi="Calibri" w:cs="Calibri"/>
              </w:rPr>
            </w:pPr>
            <w:r w:rsidRPr="00BA5FA3">
              <w:rPr>
                <w:rFonts w:cstheme="minorHAnsi"/>
              </w:rPr>
              <w:t>This job description is current at the date shown but</w:t>
            </w:r>
            <w:r w:rsidR="0017269A">
              <w:rPr>
                <w:rFonts w:cstheme="minorHAnsi"/>
              </w:rPr>
              <w:t>,</w:t>
            </w:r>
            <w:r w:rsidRPr="00BA5FA3">
              <w:rPr>
                <w:rFonts w:cstheme="minorHAnsi"/>
              </w:rPr>
              <w:t xml:space="preserve"> in consultation with you, may be changed by the Headteacher to reflect or anticipate changes in the job commensurate with the grade and job title.</w:t>
            </w:r>
          </w:p>
          <w:p w14:paraId="6F82C828" w14:textId="7042C6D4" w:rsidR="00EA09FD" w:rsidRPr="005357D1" w:rsidRDefault="00EA09FD" w:rsidP="00367B91">
            <w:pPr>
              <w:pStyle w:val="NoSpacing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</w:tbl>
    <w:p w14:paraId="44D7C9E4" w14:textId="77777777" w:rsidR="000B2D0C" w:rsidRDefault="000B2D0C" w:rsidP="00336BE6">
      <w:pPr>
        <w:tabs>
          <w:tab w:val="left" w:pos="4395"/>
        </w:tabs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0B2D0C" w:rsidRPr="000424BD" w14:paraId="4F0768C8" w14:textId="77777777" w:rsidTr="000920C2">
        <w:trPr>
          <w:cantSplit/>
          <w:trHeight w:val="170"/>
          <w:tblHeader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68B0505A" w14:textId="30EB90C5" w:rsidR="000B2D0C" w:rsidRPr="000920C2" w:rsidRDefault="000B2D0C" w:rsidP="000920C2">
            <w:pPr>
              <w:autoSpaceDE w:val="0"/>
              <w:autoSpaceDN w:val="0"/>
              <w:spacing w:after="120"/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</w:pPr>
            <w:r w:rsidRPr="000920C2"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  <w:t>Safeguarding, Health and Safety</w:t>
            </w:r>
          </w:p>
        </w:tc>
      </w:tr>
      <w:tr w:rsidR="000B2D0C" w:rsidRPr="00564E92" w14:paraId="72CE9C28" w14:textId="77777777" w:rsidTr="004F511F">
        <w:trPr>
          <w:trHeight w:val="170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03E26" w14:textId="77777777" w:rsidR="001666D8" w:rsidRDefault="001666D8" w:rsidP="001666D8">
            <w:pPr>
              <w:ind w:left="360"/>
              <w:jc w:val="both"/>
              <w:rPr>
                <w:rFonts w:cstheme="minorHAnsi"/>
              </w:rPr>
            </w:pPr>
          </w:p>
          <w:p w14:paraId="510A73F7" w14:textId="3A468D87" w:rsidR="000B778B" w:rsidRPr="00E82DF1" w:rsidRDefault="000B778B" w:rsidP="00653DDF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E82DF1">
              <w:rPr>
                <w:rFonts w:cstheme="minorHAnsi"/>
              </w:rPr>
              <w:t>Be aware of the responsibility for personal Health, Safety and Welfare and that of others who may be affected by your actions or inactions.</w:t>
            </w:r>
          </w:p>
          <w:p w14:paraId="109CB048" w14:textId="77777777" w:rsidR="000B2D0C" w:rsidRPr="001666D8" w:rsidRDefault="000B778B" w:rsidP="00653DDF">
            <w:pPr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E82DF1">
              <w:rPr>
                <w:rFonts w:cstheme="minorHAnsi"/>
                <w:color w:val="000000"/>
              </w:rPr>
              <w:t>Co-operate with the employer on all issues to do with Health, Safety &amp; Welfare</w:t>
            </w:r>
          </w:p>
          <w:p w14:paraId="6A4BA38F" w14:textId="787DBD47" w:rsidR="001666D8" w:rsidRPr="000B778B" w:rsidRDefault="001666D8" w:rsidP="001666D8">
            <w:pPr>
              <w:ind w:left="360"/>
              <w:jc w:val="both"/>
              <w:rPr>
                <w:rFonts w:cstheme="minorHAnsi"/>
              </w:rPr>
            </w:pPr>
          </w:p>
        </w:tc>
      </w:tr>
    </w:tbl>
    <w:p w14:paraId="24A85422" w14:textId="77777777" w:rsidR="000B2D0C" w:rsidRDefault="000B2D0C" w:rsidP="00336BE6">
      <w:pPr>
        <w:tabs>
          <w:tab w:val="left" w:pos="4395"/>
        </w:tabs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</w:p>
    <w:p w14:paraId="7BE926B7" w14:textId="77777777" w:rsidR="001666D8" w:rsidRDefault="001666D8" w:rsidP="00336BE6">
      <w:pPr>
        <w:tabs>
          <w:tab w:val="left" w:pos="4395"/>
        </w:tabs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</w:p>
    <w:p w14:paraId="3AB6A2E1" w14:textId="77777777" w:rsidR="001666D8" w:rsidRDefault="001666D8" w:rsidP="00336BE6">
      <w:pPr>
        <w:tabs>
          <w:tab w:val="left" w:pos="4395"/>
        </w:tabs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0B2D0C" w:rsidRPr="000424BD" w14:paraId="3C8E4459" w14:textId="77777777" w:rsidTr="000920C2">
        <w:trPr>
          <w:cantSplit/>
          <w:trHeight w:val="170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093AE31" w14:textId="43F914A7" w:rsidR="000B2D0C" w:rsidRPr="000920C2" w:rsidRDefault="000B2D0C" w:rsidP="003876A7">
            <w:pPr>
              <w:autoSpaceDE w:val="0"/>
              <w:autoSpaceDN w:val="0"/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</w:pPr>
            <w:r w:rsidRPr="000920C2">
              <w:rPr>
                <w:rFonts w:cstheme="minorHAnsi"/>
                <w:b/>
                <w:spacing w:val="2"/>
                <w:sz w:val="24"/>
                <w:szCs w:val="24"/>
                <w:lang w:val="en-US"/>
              </w:rPr>
              <w:t>Continuing Professional Development</w:t>
            </w:r>
          </w:p>
        </w:tc>
      </w:tr>
      <w:tr w:rsidR="000B2D0C" w:rsidRPr="00564E92" w14:paraId="27F7399A" w14:textId="77777777" w:rsidTr="004F511F">
        <w:trPr>
          <w:trHeight w:val="170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EE04" w14:textId="77777777" w:rsidR="001666D8" w:rsidRDefault="001666D8" w:rsidP="003876A7">
            <w:pPr>
              <w:pStyle w:val="NumberlistStartat1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626DF" w14:textId="2C417E4B" w:rsidR="00061AE8" w:rsidRPr="00E82DF1" w:rsidRDefault="00061AE8" w:rsidP="003876A7">
            <w:pPr>
              <w:pStyle w:val="NumberlistStartat1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2DF1">
              <w:rPr>
                <w:rFonts w:asciiTheme="minorHAnsi" w:hAnsiTheme="minorHAnsi" w:cstheme="minorHAnsi"/>
                <w:sz w:val="22"/>
                <w:szCs w:val="22"/>
              </w:rPr>
              <w:t xml:space="preserve">In conjunction with the line manager, take responsibility for personal professional development, keeping </w:t>
            </w:r>
            <w:r w:rsidR="000A148A" w:rsidRPr="00E82DF1">
              <w:rPr>
                <w:rFonts w:asciiTheme="minorHAnsi" w:hAnsiTheme="minorHAnsi" w:cstheme="minorHAnsi"/>
                <w:sz w:val="22"/>
                <w:szCs w:val="22"/>
              </w:rPr>
              <w:t>up to date</w:t>
            </w:r>
            <w:r w:rsidRPr="00E82DF1">
              <w:rPr>
                <w:rFonts w:asciiTheme="minorHAnsi" w:hAnsiTheme="minorHAnsi" w:cstheme="minorHAnsi"/>
                <w:sz w:val="22"/>
                <w:szCs w:val="22"/>
              </w:rPr>
              <w:t xml:space="preserve"> with developments related to teaching and learning and personal development, behaviour and welfare which may lead to improvements in the provision of the </w:t>
            </w:r>
            <w:r w:rsidR="001666D8">
              <w:rPr>
                <w:rFonts w:asciiTheme="minorHAnsi" w:hAnsiTheme="minorHAnsi" w:cstheme="minorHAnsi"/>
                <w:sz w:val="22"/>
                <w:szCs w:val="22"/>
              </w:rPr>
              <w:t>School</w:t>
            </w:r>
            <w:r w:rsidR="00F333FA">
              <w:rPr>
                <w:rFonts w:asciiTheme="minorHAnsi" w:hAnsiTheme="minorHAnsi" w:cstheme="minorHAnsi"/>
                <w:sz w:val="22"/>
                <w:szCs w:val="22"/>
              </w:rPr>
              <w:t xml:space="preserve"> and Trust</w:t>
            </w:r>
            <w:r w:rsidRPr="00E82D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9F1BF3D" w14:textId="6796D6B7" w:rsidR="000B2D0C" w:rsidRPr="001666D8" w:rsidRDefault="00061AE8" w:rsidP="003876A7">
            <w:pPr>
              <w:pStyle w:val="NumberlistStartat1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lang w:val="en-US" w:eastAsia="en-GB"/>
              </w:rPr>
            </w:pPr>
            <w:r w:rsidRPr="00061AE8">
              <w:rPr>
                <w:rFonts w:asciiTheme="minorHAnsi" w:hAnsiTheme="minorHAnsi" w:cstheme="minorHAnsi"/>
                <w:sz w:val="22"/>
                <w:szCs w:val="22"/>
              </w:rPr>
              <w:t>Undertake any necessary professional development as identified in the School Improvement Plan</w:t>
            </w:r>
            <w:r w:rsidR="00F333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61AE8">
              <w:rPr>
                <w:rFonts w:asciiTheme="minorHAnsi" w:hAnsiTheme="minorHAnsi" w:cstheme="minorHAnsi"/>
                <w:sz w:val="22"/>
                <w:szCs w:val="22"/>
              </w:rPr>
              <w:t xml:space="preserve"> taking full advantage of any relevant training and development available.</w:t>
            </w:r>
          </w:p>
          <w:p w14:paraId="38E0ED2A" w14:textId="7FEF241E" w:rsidR="001666D8" w:rsidRPr="00564E92" w:rsidRDefault="001666D8" w:rsidP="003876A7">
            <w:pPr>
              <w:pStyle w:val="NumberlistStartat1"/>
              <w:ind w:left="360"/>
              <w:jc w:val="both"/>
              <w:rPr>
                <w:rFonts w:asciiTheme="minorHAnsi" w:hAnsiTheme="minorHAnsi" w:cstheme="minorHAnsi"/>
                <w:lang w:val="en-US" w:eastAsia="en-GB"/>
              </w:rPr>
            </w:pPr>
          </w:p>
        </w:tc>
      </w:tr>
      <w:bookmarkEnd w:id="0"/>
    </w:tbl>
    <w:p w14:paraId="331B017F" w14:textId="03C800A7" w:rsidR="00BA5FA3" w:rsidRDefault="00BA5FA3" w:rsidP="00BA5FA3">
      <w:pPr>
        <w:spacing w:line="240" w:lineRule="auto"/>
        <w:rPr>
          <w:rFonts w:cstheme="minorHAnsi"/>
        </w:rPr>
      </w:pPr>
    </w:p>
    <w:p w14:paraId="1F18D777" w14:textId="6723A3CB" w:rsidR="008F5E7C" w:rsidRPr="00BA5FA3" w:rsidRDefault="008F5E7C" w:rsidP="00BA5FA3">
      <w:pPr>
        <w:spacing w:line="240" w:lineRule="auto"/>
        <w:rPr>
          <w:rFonts w:cstheme="minorHAnsi"/>
        </w:rPr>
      </w:pPr>
    </w:p>
    <w:p w14:paraId="0C532822" w14:textId="77777777" w:rsidR="000F048E" w:rsidRPr="005F24A5" w:rsidRDefault="00C60F65" w:rsidP="00AD0502">
      <w:pPr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  <w:r>
        <w:rPr>
          <w:rFonts w:cstheme="minorHAnsi"/>
          <w:b/>
          <w:bCs/>
          <w:color w:val="2E74B5" w:themeColor="accent1" w:themeShade="BF"/>
          <w:sz w:val="28"/>
          <w:szCs w:val="24"/>
        </w:rPr>
        <w:br w:type="textWrapping" w:clear="all"/>
      </w:r>
    </w:p>
    <w:tbl>
      <w:tblPr>
        <w:tblStyle w:val="TableGrid"/>
        <w:tblW w:w="930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4"/>
        <w:gridCol w:w="1023"/>
        <w:gridCol w:w="1050"/>
      </w:tblGrid>
      <w:tr w:rsidR="000F048E" w14:paraId="78DA6CAD" w14:textId="77777777" w:rsidTr="007E01AE">
        <w:trPr>
          <w:trHeight w:val="300"/>
        </w:trPr>
        <w:tc>
          <w:tcPr>
            <w:tcW w:w="1560" w:type="dxa"/>
            <w:shd w:val="clear" w:color="auto" w:fill="C5E0B3"/>
            <w:tcMar>
              <w:left w:w="105" w:type="dxa"/>
              <w:right w:w="105" w:type="dxa"/>
            </w:tcMar>
          </w:tcPr>
          <w:p w14:paraId="6D376462" w14:textId="77777777" w:rsidR="000F048E" w:rsidRDefault="000F048E" w:rsidP="007E01A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5EC14277">
              <w:rPr>
                <w:rFonts w:ascii="Calibri" w:eastAsia="Calibri" w:hAnsi="Calibri" w:cs="Calibri"/>
                <w:b/>
                <w:bCs/>
              </w:rPr>
              <w:lastRenderedPageBreak/>
              <w:t>Key Areas of role</w:t>
            </w:r>
          </w:p>
        </w:tc>
        <w:tc>
          <w:tcPr>
            <w:tcW w:w="5674" w:type="dxa"/>
            <w:shd w:val="clear" w:color="auto" w:fill="C5E0B3"/>
            <w:tcMar>
              <w:left w:w="105" w:type="dxa"/>
              <w:right w:w="105" w:type="dxa"/>
            </w:tcMar>
          </w:tcPr>
          <w:p w14:paraId="0113011C" w14:textId="77777777" w:rsidR="000F048E" w:rsidRDefault="000F048E" w:rsidP="007E01A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5EC14277">
              <w:rPr>
                <w:rFonts w:ascii="Calibri" w:eastAsia="Calibri" w:hAnsi="Calibri" w:cs="Calibri"/>
                <w:b/>
                <w:bCs/>
              </w:rPr>
              <w:t>Specification</w:t>
            </w:r>
          </w:p>
        </w:tc>
        <w:tc>
          <w:tcPr>
            <w:tcW w:w="1023" w:type="dxa"/>
            <w:shd w:val="clear" w:color="auto" w:fill="C5E0B3"/>
            <w:tcMar>
              <w:left w:w="105" w:type="dxa"/>
              <w:right w:w="105" w:type="dxa"/>
            </w:tcMar>
          </w:tcPr>
          <w:p w14:paraId="511E4C3D" w14:textId="77777777" w:rsidR="000F048E" w:rsidRPr="001C4CDC" w:rsidRDefault="000F048E" w:rsidP="007E01A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1C4CDC">
              <w:rPr>
                <w:rFonts w:ascii="Calibri" w:eastAsia="Calibri" w:hAnsi="Calibri" w:cs="Calibri"/>
                <w:b/>
                <w:bCs/>
              </w:rPr>
              <w:t>Essential</w:t>
            </w:r>
          </w:p>
        </w:tc>
        <w:tc>
          <w:tcPr>
            <w:tcW w:w="1050" w:type="dxa"/>
            <w:shd w:val="clear" w:color="auto" w:fill="C5E0B3"/>
            <w:tcMar>
              <w:left w:w="105" w:type="dxa"/>
              <w:right w:w="105" w:type="dxa"/>
            </w:tcMar>
          </w:tcPr>
          <w:p w14:paraId="125F9B6D" w14:textId="77777777" w:rsidR="000F048E" w:rsidRPr="001C4CDC" w:rsidRDefault="000F048E" w:rsidP="007E01AE">
            <w:pPr>
              <w:spacing w:after="1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1C4CDC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Desirable</w:t>
            </w:r>
          </w:p>
        </w:tc>
      </w:tr>
      <w:tr w:rsidR="000F048E" w14:paraId="69083E6F" w14:textId="77777777" w:rsidTr="007E01AE">
        <w:trPr>
          <w:trHeight w:hRule="exact" w:val="340"/>
        </w:trPr>
        <w:tc>
          <w:tcPr>
            <w:tcW w:w="1560" w:type="dxa"/>
            <w:vMerge w:val="restart"/>
            <w:tcMar>
              <w:left w:w="105" w:type="dxa"/>
              <w:right w:w="105" w:type="dxa"/>
            </w:tcMar>
          </w:tcPr>
          <w:p w14:paraId="6E881F02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  <w:r w:rsidRPr="5EC14277">
              <w:rPr>
                <w:rFonts w:ascii="Calibri" w:eastAsia="Calibri" w:hAnsi="Calibri" w:cs="Calibri"/>
                <w:b/>
                <w:bCs/>
              </w:rPr>
              <w:t>Qualifications</w:t>
            </w:r>
          </w:p>
          <w:p w14:paraId="771A7ACC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</w:p>
          <w:p w14:paraId="4DE5D3AD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</w:p>
          <w:p w14:paraId="04F67F86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</w:p>
          <w:p w14:paraId="7F86EBD4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76120E09" w14:textId="77777777" w:rsidR="000F048E" w:rsidRPr="00EB2E6F" w:rsidRDefault="000F048E" w:rsidP="007E01AE">
            <w:pPr>
              <w:spacing w:line="259" w:lineRule="auto"/>
              <w:rPr>
                <w:rFonts w:ascii="Calibri" w:hAnsi="Calibri" w:cs="Calibri"/>
              </w:rPr>
            </w:pPr>
            <w:r w:rsidRPr="00EB2E6F">
              <w:rPr>
                <w:rFonts w:ascii="Calibri" w:hAnsi="Calibri" w:cs="Calibri"/>
              </w:rPr>
              <w:t xml:space="preserve">Qualified </w:t>
            </w:r>
            <w:r>
              <w:rPr>
                <w:rFonts w:ascii="Calibri" w:hAnsi="Calibri" w:cs="Calibri"/>
              </w:rPr>
              <w:t>T</w:t>
            </w:r>
            <w:r w:rsidRPr="00EB2E6F">
              <w:rPr>
                <w:rFonts w:ascii="Calibri" w:hAnsi="Calibri" w:cs="Calibri"/>
              </w:rPr>
              <w:t>eacher</w:t>
            </w:r>
            <w:r>
              <w:rPr>
                <w:rFonts w:ascii="Calibri" w:hAnsi="Calibri" w:cs="Calibri"/>
              </w:rPr>
              <w:t xml:space="preserve"> Status (QTS)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2DB1705F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B30C528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382B6A05" w14:textId="77777777" w:rsidTr="007E01AE">
        <w:trPr>
          <w:trHeight w:hRule="exact" w:val="340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7C501D49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2880681E" w14:textId="77777777" w:rsidR="000F048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Award for SEN Coordination (NASENCO)</w:t>
            </w:r>
          </w:p>
          <w:p w14:paraId="6126FE45" w14:textId="77777777" w:rsidR="000F048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2FF57FD3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835848F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</w:tr>
      <w:tr w:rsidR="000F048E" w14:paraId="659ABC11" w14:textId="77777777" w:rsidTr="007E01AE">
        <w:trPr>
          <w:trHeight w:hRule="exact" w:val="641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748F1642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3055D704" w14:textId="77777777" w:rsidR="000F048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Ongoing professional development relating to SEND or inclusion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82683CD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89B3706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</w:tr>
      <w:tr w:rsidR="000F048E" w14:paraId="5536EE37" w14:textId="77777777" w:rsidTr="007E01AE">
        <w:trPr>
          <w:trHeight w:hRule="exact" w:val="579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7C2DBEAD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01F8DF46" w14:textId="77777777" w:rsidR="000F048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Secure and up-to-date knowledge of the SEND Code of Practice (2015)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439A2D9D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CD4A7D2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</w:tr>
      <w:tr w:rsidR="000F048E" w14:paraId="4918862C" w14:textId="77777777" w:rsidTr="007E01AE">
        <w:trPr>
          <w:trHeight w:hRule="exact" w:val="701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75DA666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1EC5588B" w14:textId="77777777" w:rsidR="000F048E" w:rsidRPr="00EB2E6F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Postgraduate qualification in SEND, Inclusion or Educational Leadership</w:t>
            </w:r>
            <w:r w:rsidRPr="00EB2E6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13E29CE6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7A9D335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72C61784" w14:textId="77777777" w:rsidTr="007E01AE">
        <w:trPr>
          <w:trHeight w:hRule="exact" w:val="601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4CE031CE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4FE39449" w14:textId="77777777" w:rsidR="000F048E" w:rsidRPr="00A609B4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A609B4">
              <w:rPr>
                <w:rFonts w:ascii="Calibri" w:eastAsia="Calibri" w:hAnsi="Calibri" w:cs="Calibri"/>
                <w:sz w:val="22"/>
                <w:szCs w:val="22"/>
              </w:rPr>
              <w:t>Evidence of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advanced or system-level SEND leadership training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8BC964C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5DEE363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266C7936" w14:textId="77777777" w:rsidTr="007E01AE">
        <w:trPr>
          <w:trHeight w:hRule="exact" w:val="601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48118E4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57A4B912" w14:textId="77777777" w:rsidR="000F048E" w:rsidRPr="00EB2E6F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Designated Safeguarding Lead (DSL) qualification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55CC400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32D81363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7FDAD9D5" w14:textId="77777777" w:rsidTr="007E01AE">
        <w:trPr>
          <w:trHeight w:val="129"/>
        </w:trPr>
        <w:tc>
          <w:tcPr>
            <w:tcW w:w="1560" w:type="dxa"/>
            <w:vMerge w:val="restart"/>
            <w:tcMar>
              <w:left w:w="105" w:type="dxa"/>
              <w:right w:w="105" w:type="dxa"/>
            </w:tcMar>
          </w:tcPr>
          <w:p w14:paraId="2A72C198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  <w:r w:rsidRPr="5EC14277">
              <w:rPr>
                <w:rFonts w:ascii="Calibri" w:eastAsia="Calibri" w:hAnsi="Calibri" w:cs="Calibri"/>
                <w:b/>
                <w:bCs/>
              </w:rPr>
              <w:t>Skills, knowledge</w:t>
            </w:r>
            <w:r>
              <w:rPr>
                <w:rFonts w:ascii="Calibri" w:eastAsia="Calibri" w:hAnsi="Calibri" w:cs="Calibri"/>
                <w:b/>
                <w:bCs/>
              </w:rPr>
              <w:t>, experience</w:t>
            </w:r>
            <w:r w:rsidRPr="5EC14277">
              <w:rPr>
                <w:rFonts w:ascii="Calibri" w:eastAsia="Calibri" w:hAnsi="Calibri" w:cs="Calibri"/>
                <w:b/>
                <w:bCs/>
              </w:rPr>
              <w:t xml:space="preserve"> and a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 w:rsidRPr="5EC14277"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li</w:t>
            </w:r>
            <w:r w:rsidRPr="5EC14277"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 w:rsidRPr="5EC14277">
              <w:rPr>
                <w:rFonts w:ascii="Calibri" w:eastAsia="Calibri" w:hAnsi="Calibri" w:cs="Calibri"/>
                <w:b/>
                <w:bCs/>
              </w:rPr>
              <w:t>es</w:t>
            </w:r>
          </w:p>
          <w:p w14:paraId="0F79A7CF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</w:p>
          <w:p w14:paraId="49275D88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</w:p>
          <w:p w14:paraId="063C0021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46DD9DAC" w14:textId="77777777" w:rsidR="000F048E" w:rsidRPr="00722CC0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Significant experience in a SEND leadership role (e.g. SENDCo or Inclusion Lead)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3EF6A55A" w14:textId="77777777" w:rsidR="000F048E" w:rsidRPr="00722CC0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 w:rsidRPr="00722CC0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7324DAE" w14:textId="77777777" w:rsidR="000F048E" w:rsidRPr="004054CB" w:rsidRDefault="000F048E" w:rsidP="007E01AE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</w:p>
        </w:tc>
      </w:tr>
      <w:tr w:rsidR="000F048E" w14:paraId="0FFA4880" w14:textId="77777777" w:rsidTr="007E01AE">
        <w:trPr>
          <w:trHeight w:val="129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09E3C77A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026859FB" w14:textId="77777777" w:rsidR="000F048E" w:rsidRPr="004054CB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Track record of improving outcomes for pupils with SEND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7850B0AC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A96A30F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6DCF733E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0FBC0602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3B3F3459" w14:textId="77777777" w:rsidR="000F048E" w:rsidRPr="004054CB" w:rsidRDefault="000F048E" w:rsidP="007E01AE">
            <w:pPr>
              <w:spacing w:line="278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working strategically with senior leaders, governors or trustees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02C807F6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EE622BC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1C805493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4A850669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6C53D1C5" w14:textId="77777777" w:rsidR="000F048E" w:rsidRPr="004054CB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developing inclusive practice across whole school contexts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6A3546C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2EA95C4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5F12C963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0239531D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6C362C7D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multi-agency working, including effective partnership with local authorities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7555B703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45AEBBE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718DD297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6EC4D46C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10161DEF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working across multiple schools or within a multi-academy trust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3B87267A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ADBE931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6931FDE2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68D4EA3B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4B2AD18B" w14:textId="77777777" w:rsidR="000F048E" w:rsidRPr="001354FE" w:rsidRDefault="000F048E" w:rsidP="007E01AE">
            <w:pPr>
              <w:pStyle w:val="NumberlistStartat1"/>
              <w:tabs>
                <w:tab w:val="left" w:pos="117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supporting SEND provision across</w:t>
            </w:r>
            <w:r w:rsidRPr="00C876A6">
              <w:rPr>
                <w:rFonts w:ascii="Calibri" w:eastAsia="Calibri" w:hAnsi="Calibri" w:cs="Calibri"/>
                <w:sz w:val="22"/>
                <w:szCs w:val="22"/>
              </w:rPr>
              <w:t xml:space="preserve"> secondary and Post 16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44B5A1DB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70F18AB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7B1939C4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DE5B5EC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3080EB03" w14:textId="77777777" w:rsidR="000F048E" w:rsidRPr="00E21793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contributing to or supporting schools through Ofsted inspections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5CC4A87B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F806114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493CCF0A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11CA1E00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11ED9AFA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SEND mediation, tribunals or complex case management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35F2C67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537657A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36A32E1C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CDF84AE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65F1DD14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provide strategic leadership across a multi-academy trust / multi-school trust.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0ABB2841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903ECE0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6655B263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2D2CAEC1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26390000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offer both support and professional challenge to school leaders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73C1CA53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C7BD98C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24A3D17F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00A97AC7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00D7CC9C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Strong analytical skills, including use of data to inform improvement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71D12582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F98D156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31CC269B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BA8B55A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52420AB9" w14:textId="77777777" w:rsidR="000F048E" w:rsidRPr="005102E3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written and verbal communication skills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4AA22A8E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A477123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5B53F3EA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7FF1C872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79A3A9D5" w14:textId="77777777" w:rsidR="000F048E" w:rsidRPr="005102E3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work independently and manage competing priorities effectively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16B74A4A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0A9C0BE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4A47C73E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EC14F5E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190EB08D" w14:textId="77777777" w:rsidR="000F048E" w:rsidRPr="005102E3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Coaching or mentoring experience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397DE2C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4332CBA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106836F3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EB3700A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04DDF34C" w14:textId="77777777" w:rsidR="000F048E" w:rsidRPr="005102E3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leading professional development at scale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51CB5EE9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0204E23F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10D84B9E" w14:textId="77777777" w:rsidTr="007E01AE">
        <w:trPr>
          <w:trHeight w:val="202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0910B444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60E050B8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Strong report-writing and presentation skills for executive and trustee audiences.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18858FA4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6E45687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</w:tr>
      <w:tr w:rsidR="000F048E" w14:paraId="1B5B4E4F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54D9A651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3CCE5AED" w14:textId="77777777" w:rsidR="000F048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Collaborative, solution focused approach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53830658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64974C69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</w:tr>
      <w:tr w:rsidR="000F048E" w14:paraId="05C51604" w14:textId="77777777" w:rsidTr="007E01AE">
        <w:trPr>
          <w:trHeight w:val="12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18D7F156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2F523268" w14:textId="77777777" w:rsidR="000F048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Confidence and calmness when working in complex or pressured situations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7F64822A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DE282E9" w14:textId="77777777" w:rsidR="000F048E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</w:p>
        </w:tc>
      </w:tr>
      <w:tr w:rsidR="000F048E" w14:paraId="62AB7364" w14:textId="77777777" w:rsidTr="007E01AE">
        <w:trPr>
          <w:trHeight w:val="237"/>
        </w:trPr>
        <w:tc>
          <w:tcPr>
            <w:tcW w:w="1560" w:type="dxa"/>
            <w:vMerge w:val="restart"/>
            <w:tcMar>
              <w:left w:w="105" w:type="dxa"/>
              <w:right w:w="105" w:type="dxa"/>
            </w:tcMar>
          </w:tcPr>
          <w:p w14:paraId="74EA441C" w14:textId="77777777" w:rsidR="000F048E" w:rsidRDefault="000F048E" w:rsidP="007E01AE">
            <w:pPr>
              <w:rPr>
                <w:rFonts w:ascii="Calibri" w:eastAsia="Calibri" w:hAnsi="Calibri" w:cs="Calibri"/>
              </w:rPr>
            </w:pPr>
            <w:r w:rsidRPr="5EC14277">
              <w:rPr>
                <w:rFonts w:ascii="Calibri" w:eastAsia="Calibri" w:hAnsi="Calibri" w:cs="Calibri"/>
                <w:b/>
                <w:bCs/>
              </w:rPr>
              <w:t>Values</w:t>
            </w:r>
          </w:p>
          <w:p w14:paraId="5A43C9E6" w14:textId="77777777" w:rsidR="000F048E" w:rsidRDefault="000F048E" w:rsidP="007E01AE">
            <w:pPr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  <w:p w14:paraId="75A573C3" w14:textId="77777777" w:rsidR="000F048E" w:rsidRDefault="000F048E" w:rsidP="007E01AE">
            <w:pPr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  <w:p w14:paraId="6756FFAA" w14:textId="77777777" w:rsidR="000F048E" w:rsidRDefault="000F048E" w:rsidP="007E01AE">
            <w:pPr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  <w:p w14:paraId="0F9B1878" w14:textId="77777777" w:rsidR="000F048E" w:rsidRDefault="000F048E" w:rsidP="007E01AE">
            <w:pPr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4C0662CC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Strong commitment to inclusive education and equity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2C091696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73B4303C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423F5382" w14:textId="77777777" w:rsidTr="007E01AE">
        <w:trPr>
          <w:trHeight w:val="23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6676BE6F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747492DF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professionalism, integrity and resilience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37335A17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4813FF8B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03C1DDC9" w14:textId="77777777" w:rsidTr="007E01AE">
        <w:trPr>
          <w:trHeight w:val="23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12737E2B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73BBE639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reflection and continuous improvement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0A7C182A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5B7B5AF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53C61E71" w14:textId="77777777" w:rsidTr="007E01AE">
        <w:trPr>
          <w:trHeight w:val="23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3F660804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484E4A6F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commitment to safeguarding and promoting the welfare of children and young people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7E8A5B03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1CD2885D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5B0CE7F8" w14:textId="77777777" w:rsidTr="007E01AE">
        <w:trPr>
          <w:trHeight w:val="23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728AB9E7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4F0ABF7D" w14:textId="77777777" w:rsidR="000F048E" w:rsidRPr="001354FE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Willingness to undertake and maintain enhanced DBS clearance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A60FFE4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  <w:r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2645B3BC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  <w:tr w:rsidR="000F048E" w14:paraId="48BF30D0" w14:textId="77777777" w:rsidTr="007E01AE">
        <w:trPr>
          <w:trHeight w:val="233"/>
        </w:trPr>
        <w:tc>
          <w:tcPr>
            <w:tcW w:w="1560" w:type="dxa"/>
            <w:vMerge/>
            <w:tcMar>
              <w:left w:w="105" w:type="dxa"/>
              <w:right w:w="105" w:type="dxa"/>
            </w:tcMar>
          </w:tcPr>
          <w:p w14:paraId="192C0989" w14:textId="77777777" w:rsidR="000F048E" w:rsidRPr="5EC14277" w:rsidRDefault="000F048E" w:rsidP="007E01A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5674" w:type="dxa"/>
            <w:tcMar>
              <w:left w:w="105" w:type="dxa"/>
              <w:right w:w="105" w:type="dxa"/>
            </w:tcMar>
          </w:tcPr>
          <w:p w14:paraId="49768A96" w14:textId="77777777" w:rsidR="000F048E" w:rsidRPr="00722CC0" w:rsidRDefault="000F048E" w:rsidP="007E01AE">
            <w:pPr>
              <w:pStyle w:val="NumberlistStartat1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Understanding of professional responsibilities relating to safeguarding, confidentiality and data protection.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</w:tcPr>
          <w:p w14:paraId="63AF70B6" w14:textId="77777777" w:rsidR="000F048E" w:rsidRPr="00722CC0" w:rsidRDefault="000F048E" w:rsidP="007E01AE">
            <w:pPr>
              <w:jc w:val="center"/>
              <w:rPr>
                <w:rFonts w:ascii="Segoe UI Symbol" w:eastAsia="Wingdings" w:hAnsi="Segoe UI Symbol" w:cs="Segoe UI Symbol"/>
              </w:rPr>
            </w:pPr>
            <w:r w:rsidRPr="00722CC0">
              <w:rPr>
                <w:rFonts w:ascii="Segoe UI Symbol" w:eastAsia="Wingdings" w:hAnsi="Segoe UI Symbol" w:cs="Segoe UI Symbol"/>
              </w:rPr>
              <w:t>✓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14:paraId="5C83D640" w14:textId="77777777" w:rsidR="000F048E" w:rsidRDefault="000F048E" w:rsidP="007E01AE">
            <w:pPr>
              <w:jc w:val="center"/>
              <w:rPr>
                <w:rFonts w:ascii="Calibri" w:eastAsia="Calibri" w:hAnsi="Calibri" w:cs="Calibri"/>
                <w:color w:val="2E74B5"/>
                <w:sz w:val="28"/>
                <w:szCs w:val="28"/>
              </w:rPr>
            </w:pPr>
          </w:p>
        </w:tc>
      </w:tr>
    </w:tbl>
    <w:p w14:paraId="2FD1B4A3" w14:textId="3AF962E1" w:rsidR="00BA5FA3" w:rsidRPr="005F24A5" w:rsidRDefault="00BA5FA3" w:rsidP="00AD0502">
      <w:pPr>
        <w:spacing w:line="240" w:lineRule="auto"/>
        <w:rPr>
          <w:rFonts w:cstheme="minorHAnsi"/>
          <w:b/>
          <w:bCs/>
          <w:color w:val="2E74B5" w:themeColor="accent1" w:themeShade="BF"/>
          <w:sz w:val="28"/>
          <w:szCs w:val="24"/>
        </w:rPr>
      </w:pPr>
    </w:p>
    <w:sectPr w:rsidR="00BA5FA3" w:rsidRPr="005F24A5" w:rsidSect="00783538">
      <w:footerReference w:type="first" r:id="rId12"/>
      <w:pgSz w:w="11906" w:h="16838"/>
      <w:pgMar w:top="851" w:right="849" w:bottom="1276" w:left="1080" w:header="284" w:footer="16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F8A26" w14:textId="77777777" w:rsidR="00100C08" w:rsidRDefault="00100C08" w:rsidP="00FE46ED">
      <w:pPr>
        <w:spacing w:after="0" w:line="240" w:lineRule="auto"/>
      </w:pPr>
      <w:r>
        <w:separator/>
      </w:r>
    </w:p>
  </w:endnote>
  <w:endnote w:type="continuationSeparator" w:id="0">
    <w:p w14:paraId="6ACD5E59" w14:textId="77777777" w:rsidR="00100C08" w:rsidRDefault="00100C08" w:rsidP="00FE46ED">
      <w:pPr>
        <w:spacing w:after="0" w:line="240" w:lineRule="auto"/>
      </w:pPr>
      <w:r>
        <w:continuationSeparator/>
      </w:r>
    </w:p>
  </w:endnote>
  <w:endnote w:type="continuationNotice" w:id="1">
    <w:p w14:paraId="74752F9F" w14:textId="77777777" w:rsidR="00100C08" w:rsidRDefault="00100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CD64" w14:textId="6633C7C6" w:rsidR="00B3377C" w:rsidRDefault="00FE18E2" w:rsidP="00FE18E2">
    <w:pPr>
      <w:pStyle w:val="Footer"/>
      <w:tabs>
        <w:tab w:val="clear" w:pos="4513"/>
        <w:tab w:val="clear" w:pos="9026"/>
        <w:tab w:val="left" w:pos="741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DFEF4" w14:textId="77777777" w:rsidR="00100C08" w:rsidRDefault="00100C08" w:rsidP="00FE46ED">
      <w:pPr>
        <w:spacing w:after="0" w:line="240" w:lineRule="auto"/>
      </w:pPr>
      <w:r>
        <w:separator/>
      </w:r>
    </w:p>
  </w:footnote>
  <w:footnote w:type="continuationSeparator" w:id="0">
    <w:p w14:paraId="58E7ACCA" w14:textId="77777777" w:rsidR="00100C08" w:rsidRDefault="00100C08" w:rsidP="00FE46ED">
      <w:pPr>
        <w:spacing w:after="0" w:line="240" w:lineRule="auto"/>
      </w:pPr>
      <w:r>
        <w:continuationSeparator/>
      </w:r>
    </w:p>
  </w:footnote>
  <w:footnote w:type="continuationNotice" w:id="1">
    <w:p w14:paraId="0ECDEDC4" w14:textId="77777777" w:rsidR="00100C08" w:rsidRDefault="00100C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209.25pt;height:332.25pt;visibility:visible;mso-wrap-style:square" o:bullet="t">
        <v:imagedata r:id="rId1" o:title=""/>
      </v:shape>
    </w:pict>
  </w:numPicBullet>
  <w:abstractNum w:abstractNumId="0" w15:restartNumberingAfterBreak="0">
    <w:nsid w:val="021E5606"/>
    <w:multiLevelType w:val="hybridMultilevel"/>
    <w:tmpl w:val="E09A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D3A88"/>
    <w:multiLevelType w:val="hybridMultilevel"/>
    <w:tmpl w:val="7BF6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261"/>
    <w:multiLevelType w:val="hybridMultilevel"/>
    <w:tmpl w:val="3CACF454"/>
    <w:lvl w:ilvl="0" w:tplc="D340CB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4135A"/>
    <w:multiLevelType w:val="hybridMultilevel"/>
    <w:tmpl w:val="42146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3B2"/>
    <w:multiLevelType w:val="multilevel"/>
    <w:tmpl w:val="3E98C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8F0600"/>
    <w:multiLevelType w:val="hybridMultilevel"/>
    <w:tmpl w:val="9A8A4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27FD"/>
    <w:multiLevelType w:val="hybridMultilevel"/>
    <w:tmpl w:val="1B40E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7" w15:restartNumberingAfterBreak="0">
    <w:nsid w:val="1A4A2F5B"/>
    <w:multiLevelType w:val="multilevel"/>
    <w:tmpl w:val="C8AA9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A794278"/>
    <w:multiLevelType w:val="hybridMultilevel"/>
    <w:tmpl w:val="DCF4F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3E48BD"/>
    <w:multiLevelType w:val="hybridMultilevel"/>
    <w:tmpl w:val="A386C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71888"/>
    <w:multiLevelType w:val="hybridMultilevel"/>
    <w:tmpl w:val="910CE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84207C"/>
    <w:multiLevelType w:val="hybridMultilevel"/>
    <w:tmpl w:val="BB26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A7C3D"/>
    <w:multiLevelType w:val="hybridMultilevel"/>
    <w:tmpl w:val="25885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930E7A"/>
    <w:multiLevelType w:val="hybridMultilevel"/>
    <w:tmpl w:val="25D82AA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602293D"/>
    <w:multiLevelType w:val="hybridMultilevel"/>
    <w:tmpl w:val="8E0CE23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84A2C0A"/>
    <w:multiLevelType w:val="hybridMultilevel"/>
    <w:tmpl w:val="90268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A2212"/>
    <w:multiLevelType w:val="multilevel"/>
    <w:tmpl w:val="83E42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F461022"/>
    <w:multiLevelType w:val="hybridMultilevel"/>
    <w:tmpl w:val="51AA44F6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 w15:restartNumberingAfterBreak="0">
    <w:nsid w:val="3FFD1312"/>
    <w:multiLevelType w:val="hybridMultilevel"/>
    <w:tmpl w:val="5A5015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57C574A"/>
    <w:multiLevelType w:val="hybridMultilevel"/>
    <w:tmpl w:val="47B2032E"/>
    <w:lvl w:ilvl="0" w:tplc="4CBC3422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087B60"/>
    <w:multiLevelType w:val="hybridMultilevel"/>
    <w:tmpl w:val="401E21B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1" w15:restartNumberingAfterBreak="0">
    <w:nsid w:val="512820FD"/>
    <w:multiLevelType w:val="hybridMultilevel"/>
    <w:tmpl w:val="5FAE2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395B05"/>
    <w:multiLevelType w:val="hybridMultilevel"/>
    <w:tmpl w:val="BD749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515C5F"/>
    <w:multiLevelType w:val="hybridMultilevel"/>
    <w:tmpl w:val="D4CA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562C2"/>
    <w:multiLevelType w:val="hybridMultilevel"/>
    <w:tmpl w:val="DBC23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9E62FF"/>
    <w:multiLevelType w:val="hybridMultilevel"/>
    <w:tmpl w:val="1DFC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94C1D"/>
    <w:multiLevelType w:val="hybridMultilevel"/>
    <w:tmpl w:val="70002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A5E01"/>
    <w:multiLevelType w:val="hybridMultilevel"/>
    <w:tmpl w:val="0B68F58A"/>
    <w:lvl w:ilvl="0" w:tplc="F7FE82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AF76E9"/>
    <w:multiLevelType w:val="hybridMultilevel"/>
    <w:tmpl w:val="47804CB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6016D7"/>
    <w:multiLevelType w:val="hybridMultilevel"/>
    <w:tmpl w:val="D8886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B274D"/>
    <w:multiLevelType w:val="hybridMultilevel"/>
    <w:tmpl w:val="FC32D1D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2C414E3"/>
    <w:multiLevelType w:val="hybridMultilevel"/>
    <w:tmpl w:val="F82A1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284844453">
    <w:abstractNumId w:val="9"/>
  </w:num>
  <w:num w:numId="2" w16cid:durableId="691104173">
    <w:abstractNumId w:val="23"/>
  </w:num>
  <w:num w:numId="3" w16cid:durableId="1594583039">
    <w:abstractNumId w:val="7"/>
  </w:num>
  <w:num w:numId="4" w16cid:durableId="266624555">
    <w:abstractNumId w:val="16"/>
  </w:num>
  <w:num w:numId="5" w16cid:durableId="571231288">
    <w:abstractNumId w:val="19"/>
  </w:num>
  <w:num w:numId="6" w16cid:durableId="2135714105">
    <w:abstractNumId w:val="24"/>
  </w:num>
  <w:num w:numId="7" w16cid:durableId="1128275975">
    <w:abstractNumId w:val="21"/>
  </w:num>
  <w:num w:numId="8" w16cid:durableId="339548378">
    <w:abstractNumId w:val="1"/>
  </w:num>
  <w:num w:numId="9" w16cid:durableId="314066416">
    <w:abstractNumId w:val="25"/>
  </w:num>
  <w:num w:numId="10" w16cid:durableId="1445224173">
    <w:abstractNumId w:val="4"/>
  </w:num>
  <w:num w:numId="11" w16cid:durableId="529728872">
    <w:abstractNumId w:val="13"/>
  </w:num>
  <w:num w:numId="12" w16cid:durableId="581063893">
    <w:abstractNumId w:val="14"/>
  </w:num>
  <w:num w:numId="13" w16cid:durableId="940378479">
    <w:abstractNumId w:val="15"/>
  </w:num>
  <w:num w:numId="14" w16cid:durableId="1884323488">
    <w:abstractNumId w:val="20"/>
  </w:num>
  <w:num w:numId="15" w16cid:durableId="896430591">
    <w:abstractNumId w:val="30"/>
  </w:num>
  <w:num w:numId="16" w16cid:durableId="455486364">
    <w:abstractNumId w:val="11"/>
  </w:num>
  <w:num w:numId="17" w16cid:durableId="287593775">
    <w:abstractNumId w:val="17"/>
  </w:num>
  <w:num w:numId="18" w16cid:durableId="1303149395">
    <w:abstractNumId w:val="18"/>
  </w:num>
  <w:num w:numId="19" w16cid:durableId="626160507">
    <w:abstractNumId w:val="28"/>
  </w:num>
  <w:num w:numId="20" w16cid:durableId="1295716761">
    <w:abstractNumId w:val="26"/>
  </w:num>
  <w:num w:numId="21" w16cid:durableId="731469456">
    <w:abstractNumId w:val="32"/>
  </w:num>
  <w:num w:numId="22" w16cid:durableId="962619612">
    <w:abstractNumId w:val="3"/>
  </w:num>
  <w:num w:numId="23" w16cid:durableId="684938408">
    <w:abstractNumId w:val="27"/>
  </w:num>
  <w:num w:numId="24" w16cid:durableId="903642577">
    <w:abstractNumId w:val="29"/>
  </w:num>
  <w:num w:numId="25" w16cid:durableId="1941525767">
    <w:abstractNumId w:val="2"/>
  </w:num>
  <w:num w:numId="26" w16cid:durableId="600644841">
    <w:abstractNumId w:val="22"/>
  </w:num>
  <w:num w:numId="27" w16cid:durableId="1171338289">
    <w:abstractNumId w:val="31"/>
  </w:num>
  <w:num w:numId="28" w16cid:durableId="1234898308">
    <w:abstractNumId w:val="12"/>
  </w:num>
  <w:num w:numId="29" w16cid:durableId="1144006460">
    <w:abstractNumId w:val="8"/>
  </w:num>
  <w:num w:numId="30" w16cid:durableId="1655067722">
    <w:abstractNumId w:val="0"/>
  </w:num>
  <w:num w:numId="31" w16cid:durableId="281881222">
    <w:abstractNumId w:val="10"/>
  </w:num>
  <w:num w:numId="32" w16cid:durableId="1513105163">
    <w:abstractNumId w:val="6"/>
  </w:num>
  <w:num w:numId="33" w16cid:durableId="101819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ED"/>
    <w:rsid w:val="00000D91"/>
    <w:rsid w:val="0002482A"/>
    <w:rsid w:val="00032204"/>
    <w:rsid w:val="000556DA"/>
    <w:rsid w:val="0006189A"/>
    <w:rsid w:val="00061AE8"/>
    <w:rsid w:val="000658D8"/>
    <w:rsid w:val="000837EF"/>
    <w:rsid w:val="00087D7F"/>
    <w:rsid w:val="000920C2"/>
    <w:rsid w:val="000A148A"/>
    <w:rsid w:val="000A7230"/>
    <w:rsid w:val="000B2D0C"/>
    <w:rsid w:val="000B778B"/>
    <w:rsid w:val="000D6721"/>
    <w:rsid w:val="000E2723"/>
    <w:rsid w:val="000F048E"/>
    <w:rsid w:val="0010065D"/>
    <w:rsid w:val="00100C08"/>
    <w:rsid w:val="00116857"/>
    <w:rsid w:val="00162C3E"/>
    <w:rsid w:val="00163826"/>
    <w:rsid w:val="001666D8"/>
    <w:rsid w:val="0017118C"/>
    <w:rsid w:val="0017269A"/>
    <w:rsid w:val="00183FC4"/>
    <w:rsid w:val="001D2151"/>
    <w:rsid w:val="001E466A"/>
    <w:rsid w:val="001E74F9"/>
    <w:rsid w:val="00231675"/>
    <w:rsid w:val="00231F32"/>
    <w:rsid w:val="00245325"/>
    <w:rsid w:val="00247780"/>
    <w:rsid w:val="00255C69"/>
    <w:rsid w:val="00293A6E"/>
    <w:rsid w:val="002C0B3B"/>
    <w:rsid w:val="002C152B"/>
    <w:rsid w:val="002D63BE"/>
    <w:rsid w:val="002F103B"/>
    <w:rsid w:val="002F369F"/>
    <w:rsid w:val="003157E2"/>
    <w:rsid w:val="00336BE6"/>
    <w:rsid w:val="00345FDA"/>
    <w:rsid w:val="003503F4"/>
    <w:rsid w:val="003529D4"/>
    <w:rsid w:val="0035649A"/>
    <w:rsid w:val="00367B91"/>
    <w:rsid w:val="003876A7"/>
    <w:rsid w:val="003D0A60"/>
    <w:rsid w:val="003D71BA"/>
    <w:rsid w:val="003E0524"/>
    <w:rsid w:val="003F0B29"/>
    <w:rsid w:val="00402E28"/>
    <w:rsid w:val="00440BB9"/>
    <w:rsid w:val="00463054"/>
    <w:rsid w:val="00480976"/>
    <w:rsid w:val="004901E4"/>
    <w:rsid w:val="00494B86"/>
    <w:rsid w:val="004D2393"/>
    <w:rsid w:val="004F1821"/>
    <w:rsid w:val="004F511F"/>
    <w:rsid w:val="004F6A67"/>
    <w:rsid w:val="00521223"/>
    <w:rsid w:val="005357D1"/>
    <w:rsid w:val="0054655D"/>
    <w:rsid w:val="00547ED2"/>
    <w:rsid w:val="0055515D"/>
    <w:rsid w:val="0057238E"/>
    <w:rsid w:val="00577550"/>
    <w:rsid w:val="00592C5B"/>
    <w:rsid w:val="005B3A80"/>
    <w:rsid w:val="005D2859"/>
    <w:rsid w:val="005E59BF"/>
    <w:rsid w:val="005F24A5"/>
    <w:rsid w:val="00613DDB"/>
    <w:rsid w:val="00637A5F"/>
    <w:rsid w:val="00653DDF"/>
    <w:rsid w:val="0066222E"/>
    <w:rsid w:val="006813A3"/>
    <w:rsid w:val="006957BE"/>
    <w:rsid w:val="006A4CD0"/>
    <w:rsid w:val="006F6105"/>
    <w:rsid w:val="00701622"/>
    <w:rsid w:val="00736BF2"/>
    <w:rsid w:val="00764254"/>
    <w:rsid w:val="00767F32"/>
    <w:rsid w:val="00783538"/>
    <w:rsid w:val="00784F32"/>
    <w:rsid w:val="007C63E0"/>
    <w:rsid w:val="008205A6"/>
    <w:rsid w:val="00840BBC"/>
    <w:rsid w:val="00854E41"/>
    <w:rsid w:val="00874E86"/>
    <w:rsid w:val="008C0CBB"/>
    <w:rsid w:val="008F5E7C"/>
    <w:rsid w:val="008F7E6A"/>
    <w:rsid w:val="00932074"/>
    <w:rsid w:val="009336AC"/>
    <w:rsid w:val="00992027"/>
    <w:rsid w:val="009A4B9B"/>
    <w:rsid w:val="009E3D4E"/>
    <w:rsid w:val="009F066C"/>
    <w:rsid w:val="009F21FE"/>
    <w:rsid w:val="00A300CF"/>
    <w:rsid w:val="00A44A9D"/>
    <w:rsid w:val="00A75089"/>
    <w:rsid w:val="00AB2A1E"/>
    <w:rsid w:val="00AD0502"/>
    <w:rsid w:val="00AE4651"/>
    <w:rsid w:val="00AE5C3F"/>
    <w:rsid w:val="00B14E22"/>
    <w:rsid w:val="00B3377C"/>
    <w:rsid w:val="00B46C1B"/>
    <w:rsid w:val="00B624FD"/>
    <w:rsid w:val="00B70EA3"/>
    <w:rsid w:val="00B910C0"/>
    <w:rsid w:val="00B96D61"/>
    <w:rsid w:val="00BA10E1"/>
    <w:rsid w:val="00BA5FA3"/>
    <w:rsid w:val="00BC5A91"/>
    <w:rsid w:val="00C122C5"/>
    <w:rsid w:val="00C22074"/>
    <w:rsid w:val="00C2601D"/>
    <w:rsid w:val="00C33E6C"/>
    <w:rsid w:val="00C46C89"/>
    <w:rsid w:val="00C5423F"/>
    <w:rsid w:val="00C60F65"/>
    <w:rsid w:val="00C85F95"/>
    <w:rsid w:val="00CB30A9"/>
    <w:rsid w:val="00CC04FE"/>
    <w:rsid w:val="00CD7B79"/>
    <w:rsid w:val="00CF178B"/>
    <w:rsid w:val="00D2428A"/>
    <w:rsid w:val="00D434BF"/>
    <w:rsid w:val="00D73742"/>
    <w:rsid w:val="00DA47CB"/>
    <w:rsid w:val="00DD5287"/>
    <w:rsid w:val="00E233BE"/>
    <w:rsid w:val="00E23A06"/>
    <w:rsid w:val="00E607A5"/>
    <w:rsid w:val="00E6343E"/>
    <w:rsid w:val="00E6536E"/>
    <w:rsid w:val="00E96290"/>
    <w:rsid w:val="00E975AA"/>
    <w:rsid w:val="00EA09FD"/>
    <w:rsid w:val="00EB29E2"/>
    <w:rsid w:val="00EB63DD"/>
    <w:rsid w:val="00ED4258"/>
    <w:rsid w:val="00EE7008"/>
    <w:rsid w:val="00EE7CCB"/>
    <w:rsid w:val="00F15167"/>
    <w:rsid w:val="00F333FA"/>
    <w:rsid w:val="00F3760A"/>
    <w:rsid w:val="00F6244D"/>
    <w:rsid w:val="00FE18E2"/>
    <w:rsid w:val="00FE46ED"/>
    <w:rsid w:val="036413CB"/>
    <w:rsid w:val="0BC01950"/>
    <w:rsid w:val="0F918C07"/>
    <w:rsid w:val="1DE35C4F"/>
    <w:rsid w:val="1EB7C8E6"/>
    <w:rsid w:val="4BCAA42A"/>
    <w:rsid w:val="686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7F91D"/>
  <w15:chartTrackingRefBased/>
  <w15:docId w15:val="{772F7BB6-FB13-408E-BF35-B01836A4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ED"/>
  </w:style>
  <w:style w:type="paragraph" w:styleId="Footer">
    <w:name w:val="footer"/>
    <w:basedOn w:val="Normal"/>
    <w:link w:val="FooterChar"/>
    <w:uiPriority w:val="99"/>
    <w:unhideWhenUsed/>
    <w:rsid w:val="00FE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6ED"/>
  </w:style>
  <w:style w:type="table" w:styleId="TableGrid">
    <w:name w:val="Table Grid"/>
    <w:basedOn w:val="TableNormal"/>
    <w:uiPriority w:val="59"/>
    <w:rsid w:val="009A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0162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NormalWeb">
    <w:name w:val="Normal (Web)"/>
    <w:basedOn w:val="Normal"/>
    <w:rsid w:val="00E9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B2D0C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4Bulletedcopyblue">
    <w:name w:val="4 Bulleted copy blue"/>
    <w:basedOn w:val="Normal"/>
    <w:qFormat/>
    <w:rsid w:val="00E23A06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NumberlistStartat1">
    <w:name w:val="Number list Start at 1"/>
    <w:basedOn w:val="BodyText"/>
    <w:uiPriority w:val="1"/>
    <w:rsid w:val="00061AE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8CDC9ABCD25428D2001541D515F56" ma:contentTypeVersion="4" ma:contentTypeDescription="Create a new document." ma:contentTypeScope="" ma:versionID="df04c1bbee3601dde20d1bf14e514753">
  <xsd:schema xmlns:xsd="http://www.w3.org/2001/XMLSchema" xmlns:xs="http://www.w3.org/2001/XMLSchema" xmlns:p="http://schemas.microsoft.com/office/2006/metadata/properties" xmlns:ns2="43105baa-1ba1-4a9e-9225-130faf9253ce" targetNamespace="http://schemas.microsoft.com/office/2006/metadata/properties" ma:root="true" ma:fieldsID="fbef4caa045c8f69616abd6c6c882e67" ns2:_="">
    <xsd:import namespace="43105baa-1ba1-4a9e-9225-130faf925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5baa-1ba1-4a9e-9225-130faf925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9344-A8E0-4952-A7C5-E9B248062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B6F4B-0328-455B-9057-E48A2D6B1D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0D78C4-8AB1-4534-9772-8301629A5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05baa-1ba1-4a9e-9225-130faf925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D1232-141B-4F88-A530-DC9AA7CB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Humphreys</dc:creator>
  <cp:keywords/>
  <dc:description/>
  <cp:lastModifiedBy>Nikki Clarke</cp:lastModifiedBy>
  <cp:revision>8</cp:revision>
  <cp:lastPrinted>2026-02-05T13:23:00Z</cp:lastPrinted>
  <dcterms:created xsi:type="dcterms:W3CDTF">2026-02-05T13:23:00Z</dcterms:created>
  <dcterms:modified xsi:type="dcterms:W3CDTF">2026-02-06T11:22:00Z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0x0101004B38CDC9ABCD25428D2001541D515F56</vt:lpwstr>
  </property>
  <property fmtid="{D5CDD505-2E9C-101B-9397-08002B2CF9AE}" pid="3" name="MediaServiceImageTags">
    <vt:lpwstr/>
  </property>
</Properties>
</file>