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F24A" w14:textId="1C197F58" w:rsidR="009303F5" w:rsidRPr="00EF6F3F" w:rsidRDefault="00EF6F3F" w:rsidP="009303F5">
      <w:pPr>
        <w:rPr>
          <w:rFonts w:asciiTheme="majorHAnsi" w:hAnsiTheme="majorHAnsi"/>
          <w:b/>
          <w:bCs/>
          <w:color w:val="2F5597"/>
          <w:sz w:val="40"/>
          <w:szCs w:val="40"/>
        </w:rPr>
      </w:pPr>
      <w:r w:rsidRPr="00EF6F3F">
        <w:rPr>
          <w:b/>
          <w:bCs/>
          <w:noProof/>
          <w:color w:val="2F5597"/>
          <w:sz w:val="4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DD457B" wp14:editId="4A927A27">
                <wp:simplePos x="0" y="0"/>
                <wp:positionH relativeFrom="margin">
                  <wp:posOffset>0</wp:posOffset>
                </wp:positionH>
                <wp:positionV relativeFrom="paragraph">
                  <wp:posOffset>495300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376EE" w14:textId="77777777" w:rsidR="00EF6F3F" w:rsidRPr="006C14F8" w:rsidRDefault="00EF6F3F" w:rsidP="00EF6F3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D4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9pt;width:517.5pt;height:2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" fillcolor="#2f5597" stroked="f">
                <v:textbox>
                  <w:txbxContent>
                    <w:p w14:paraId="4CD376EE" w14:textId="77777777" w:rsidR="00EF6F3F" w:rsidRPr="006C14F8" w:rsidRDefault="00EF6F3F" w:rsidP="00EF6F3F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F5" w:rsidRPr="00EF6F3F">
        <w:rPr>
          <w:rFonts w:asciiTheme="majorHAnsi" w:hAnsiTheme="majorHAnsi"/>
          <w:b/>
          <w:bCs/>
          <w:color w:val="2F5597"/>
          <w:sz w:val="40"/>
          <w:szCs w:val="40"/>
        </w:rPr>
        <w:t xml:space="preserve">Job Description: </w:t>
      </w:r>
      <w:r w:rsidR="000015CC">
        <w:rPr>
          <w:rFonts w:asciiTheme="majorHAnsi" w:hAnsiTheme="majorHAnsi"/>
          <w:b/>
          <w:bCs/>
          <w:color w:val="2F5597"/>
          <w:sz w:val="40"/>
          <w:szCs w:val="40"/>
        </w:rPr>
        <w:t>Director of Specialism</w:t>
      </w:r>
      <w:r w:rsidR="008115BE">
        <w:rPr>
          <w:rFonts w:asciiTheme="majorHAnsi" w:hAnsiTheme="majorHAnsi"/>
          <w:b/>
          <w:bCs/>
          <w:color w:val="2F5597"/>
          <w:sz w:val="40"/>
          <w:szCs w:val="40"/>
        </w:rPr>
        <w:t xml:space="preserve"> - Maths</w:t>
      </w:r>
    </w:p>
    <w:p w14:paraId="5AC52981" w14:textId="77777777" w:rsidR="000015CC" w:rsidRDefault="000015CC" w:rsidP="000015C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Drive school improvement in a subject specialism by leading on effective </w:t>
      </w:r>
      <w:r w:rsidRPr="00C36619">
        <w:rPr>
          <w:color w:val="auto"/>
          <w:sz w:val="24"/>
          <w:szCs w:val="24"/>
        </w:rPr>
        <w:t xml:space="preserve">teaching and learning strategies across the </w:t>
      </w:r>
      <w:r>
        <w:rPr>
          <w:color w:val="auto"/>
          <w:sz w:val="24"/>
          <w:szCs w:val="24"/>
        </w:rPr>
        <w:t>T</w:t>
      </w:r>
      <w:r w:rsidRPr="00C36619">
        <w:rPr>
          <w:color w:val="auto"/>
          <w:sz w:val="24"/>
          <w:szCs w:val="24"/>
        </w:rPr>
        <w:t xml:space="preserve">rust. </w:t>
      </w:r>
      <w:r>
        <w:rPr>
          <w:color w:val="auto"/>
          <w:sz w:val="24"/>
          <w:szCs w:val="24"/>
        </w:rPr>
        <w:t>Work collaboratively with academy leadership teams to accurately evaluate the quality of teaching and learning, implementing appropriate support and challenge packages that lead to improved, high-quality outcomes.</w:t>
      </w:r>
    </w:p>
    <w:p w14:paraId="58D62383" w14:textId="77777777" w:rsidR="000015CC" w:rsidRDefault="000015CC" w:rsidP="000015CC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Base: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color w:val="auto"/>
          <w:sz w:val="24"/>
          <w:szCs w:val="24"/>
        </w:rPr>
        <w:t xml:space="preserve">North Durham </w:t>
      </w:r>
      <w:r w:rsidRPr="00F649BF">
        <w:rPr>
          <w:color w:val="auto"/>
          <w:sz w:val="24"/>
          <w:szCs w:val="24"/>
        </w:rPr>
        <w:t>Academy</w:t>
      </w:r>
      <w:r>
        <w:rPr>
          <w:color w:val="auto"/>
          <w:sz w:val="24"/>
          <w:szCs w:val="24"/>
        </w:rPr>
        <w:t xml:space="preserve"> with travel across the Trust</w:t>
      </w:r>
    </w:p>
    <w:p w14:paraId="2A1D36C7" w14:textId="77777777" w:rsidR="000015CC" w:rsidRDefault="000015CC" w:rsidP="000015CC">
      <w:pPr>
        <w:rPr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t>Responsible</w:t>
      </w:r>
      <w:r w:rsidRPr="005D5027">
        <w:rPr>
          <w:b/>
          <w:bCs/>
          <w:color w:val="auto"/>
          <w:sz w:val="28"/>
          <w:szCs w:val="28"/>
        </w:rPr>
        <w:t xml:space="preserve"> to: </w:t>
      </w:r>
      <w:r w:rsidRPr="005D5027"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color w:val="auto"/>
          <w:sz w:val="24"/>
          <w:szCs w:val="24"/>
        </w:rPr>
        <w:t>Chief Executive Officer</w:t>
      </w:r>
    </w:p>
    <w:p w14:paraId="340A691A" w14:textId="3A40BA96" w:rsidR="00E55F80" w:rsidRPr="00E55F80" w:rsidRDefault="00EF6F3F" w:rsidP="00496E5F">
      <w:pPr>
        <w:rPr>
          <w:b/>
          <w:bCs/>
          <w:color w:val="auto"/>
          <w:sz w:val="28"/>
          <w:szCs w:val="28"/>
        </w:rPr>
      </w:pPr>
      <w:r w:rsidRPr="002134FE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5A8799" wp14:editId="4510D7AB">
                <wp:simplePos x="0" y="0"/>
                <wp:positionH relativeFrom="margin">
                  <wp:posOffset>0</wp:posOffset>
                </wp:positionH>
                <wp:positionV relativeFrom="paragraph">
                  <wp:posOffset>373380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625C" w14:textId="77777777" w:rsidR="00EF6F3F" w:rsidRPr="006C14F8" w:rsidRDefault="00EF6F3F" w:rsidP="00EF6F3F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A8799" id="_x0000_s1027" type="#_x0000_t202" style="position:absolute;margin-left:0;margin-top:29.4pt;width:517.5pt;height:2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" fillcolor="#2f5496 [2404]" stroked="f">
                <v:textbox>
                  <w:txbxContent>
                    <w:p w14:paraId="56BF625C" w14:textId="77777777" w:rsidR="00EF6F3F" w:rsidRPr="006C14F8" w:rsidRDefault="00EF6F3F" w:rsidP="00EF6F3F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5F80" w:rsidRPr="00E55F80">
        <w:rPr>
          <w:b/>
          <w:bCs/>
          <w:color w:val="auto"/>
          <w:sz w:val="28"/>
          <w:szCs w:val="28"/>
        </w:rPr>
        <w:t xml:space="preserve">Key area of responsibility: </w:t>
      </w:r>
      <w:r w:rsidR="00E55F80">
        <w:rPr>
          <w:b/>
          <w:bCs/>
          <w:color w:val="auto"/>
          <w:sz w:val="28"/>
          <w:szCs w:val="28"/>
        </w:rPr>
        <w:tab/>
      </w:r>
      <w:r w:rsidR="008115BE" w:rsidRPr="008115BE">
        <w:rPr>
          <w:color w:val="auto"/>
          <w:sz w:val="24"/>
          <w:szCs w:val="24"/>
        </w:rPr>
        <w:t>Maths</w:t>
      </w:r>
    </w:p>
    <w:p w14:paraId="683058F7" w14:textId="77777777" w:rsidR="000015CC" w:rsidRDefault="000015CC" w:rsidP="000015CC">
      <w:pPr>
        <w:spacing w:line="286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S</w:t>
      </w:r>
      <w:r w:rsidRPr="006D2B00">
        <w:rPr>
          <w:b/>
          <w:bCs/>
          <w:color w:val="auto"/>
          <w:sz w:val="24"/>
          <w:szCs w:val="24"/>
        </w:rPr>
        <w:t>trategy and improvement</w:t>
      </w:r>
      <w:r w:rsidRPr="006D2B00">
        <w:rPr>
          <w:color w:val="auto"/>
          <w:sz w:val="24"/>
          <w:szCs w:val="24"/>
        </w:rPr>
        <w:t xml:space="preserve"> </w:t>
      </w:r>
    </w:p>
    <w:p w14:paraId="21D1F4F7" w14:textId="77777777" w:rsidR="000015CC" w:rsidRPr="00C36619" w:rsidRDefault="000015CC" w:rsidP="000015CC">
      <w:pPr>
        <w:spacing w:line="240" w:lineRule="auto"/>
        <w:rPr>
          <w:color w:val="auto"/>
          <w:sz w:val="24"/>
          <w:szCs w:val="24"/>
        </w:rPr>
      </w:pPr>
      <w:r w:rsidRPr="00C36619">
        <w:rPr>
          <w:color w:val="auto"/>
          <w:sz w:val="24"/>
          <w:szCs w:val="24"/>
        </w:rPr>
        <w:t>Create and lead a framework of improvement strategies</w:t>
      </w:r>
      <w:r>
        <w:rPr>
          <w:color w:val="auto"/>
          <w:sz w:val="24"/>
          <w:szCs w:val="24"/>
        </w:rPr>
        <w:t xml:space="preserve"> for the subject specialism</w:t>
      </w:r>
      <w:r w:rsidRPr="00C36619">
        <w:rPr>
          <w:color w:val="auto"/>
          <w:sz w:val="24"/>
          <w:szCs w:val="24"/>
        </w:rPr>
        <w:t xml:space="preserve"> that can be implemented and monitored across the </w:t>
      </w:r>
      <w:r>
        <w:rPr>
          <w:color w:val="auto"/>
          <w:sz w:val="24"/>
          <w:szCs w:val="24"/>
        </w:rPr>
        <w:t>Trust</w:t>
      </w:r>
    </w:p>
    <w:p w14:paraId="0EAF7D87" w14:textId="77777777" w:rsidR="000015CC" w:rsidRPr="00C36619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</w:t>
      </w:r>
      <w:r w:rsidRPr="00C36619">
        <w:rPr>
          <w:color w:val="auto"/>
          <w:sz w:val="24"/>
          <w:szCs w:val="24"/>
        </w:rPr>
        <w:t xml:space="preserve">rive school improvement across all academies within the </w:t>
      </w:r>
      <w:r>
        <w:rPr>
          <w:color w:val="auto"/>
          <w:sz w:val="24"/>
          <w:szCs w:val="24"/>
        </w:rPr>
        <w:t>Trust</w:t>
      </w:r>
      <w:r w:rsidRPr="00C36619">
        <w:rPr>
          <w:color w:val="auto"/>
          <w:sz w:val="24"/>
          <w:szCs w:val="24"/>
        </w:rPr>
        <w:t xml:space="preserve"> by working in partnership with the CEO, </w:t>
      </w:r>
      <w:r>
        <w:rPr>
          <w:color w:val="auto"/>
          <w:sz w:val="24"/>
          <w:szCs w:val="24"/>
        </w:rPr>
        <w:t>Headteachers</w:t>
      </w:r>
      <w:r w:rsidRPr="00C36619">
        <w:rPr>
          <w:color w:val="auto"/>
          <w:sz w:val="24"/>
          <w:szCs w:val="24"/>
        </w:rPr>
        <w:t xml:space="preserve"> and school-based teaching and learning leads, and subject specialists</w:t>
      </w:r>
    </w:p>
    <w:p w14:paraId="7D6F56B1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Pr="00C36619">
        <w:rPr>
          <w:color w:val="auto"/>
          <w:sz w:val="24"/>
          <w:szCs w:val="24"/>
        </w:rPr>
        <w:t xml:space="preserve">ct as the link </w:t>
      </w:r>
      <w:r>
        <w:rPr>
          <w:color w:val="auto"/>
          <w:sz w:val="24"/>
          <w:szCs w:val="24"/>
        </w:rPr>
        <w:t>across</w:t>
      </w:r>
      <w:r w:rsidRPr="00C36619">
        <w:rPr>
          <w:color w:val="auto"/>
          <w:sz w:val="24"/>
          <w:szCs w:val="24"/>
        </w:rPr>
        <w:t xml:space="preserve"> academies to ensure that planning, teaching and learning and progress of </w:t>
      </w:r>
      <w:r>
        <w:rPr>
          <w:color w:val="auto"/>
          <w:sz w:val="24"/>
          <w:szCs w:val="24"/>
        </w:rPr>
        <w:t>students</w:t>
      </w:r>
      <w:r w:rsidRPr="00C36619">
        <w:rPr>
          <w:color w:val="auto"/>
          <w:sz w:val="24"/>
          <w:szCs w:val="24"/>
        </w:rPr>
        <w:t xml:space="preserve"> are on a clear trajectory towards outstanding</w:t>
      </w:r>
    </w:p>
    <w:p w14:paraId="335DBC69" w14:textId="77777777" w:rsidR="000015CC" w:rsidRPr="0005793B" w:rsidRDefault="000015CC" w:rsidP="000015CC">
      <w:pPr>
        <w:spacing w:line="240" w:lineRule="auto"/>
        <w:rPr>
          <w:color w:val="auto"/>
          <w:sz w:val="24"/>
          <w:szCs w:val="24"/>
          <w:lang w:bidi="en-GB"/>
        </w:rPr>
      </w:pPr>
      <w:r>
        <w:rPr>
          <w:color w:val="auto"/>
          <w:sz w:val="24"/>
          <w:szCs w:val="24"/>
          <w:lang w:bidi="en-GB"/>
        </w:rPr>
        <w:t>M</w:t>
      </w:r>
      <w:r w:rsidRPr="0005793B">
        <w:rPr>
          <w:color w:val="auto"/>
          <w:sz w:val="24"/>
          <w:szCs w:val="24"/>
          <w:lang w:bidi="en-GB"/>
        </w:rPr>
        <w:t>onitor the progress of plans through visits, observations, the monitoring of current data and discussion with teaching staff</w:t>
      </w:r>
    </w:p>
    <w:p w14:paraId="2E11E894" w14:textId="77777777" w:rsidR="000015CC" w:rsidRDefault="000015CC" w:rsidP="000015CC">
      <w:pPr>
        <w:spacing w:line="240" w:lineRule="auto"/>
        <w:rPr>
          <w:color w:val="auto"/>
          <w:sz w:val="24"/>
          <w:szCs w:val="24"/>
          <w:lang w:bidi="en-GB"/>
        </w:rPr>
      </w:pPr>
      <w:r>
        <w:rPr>
          <w:color w:val="auto"/>
          <w:sz w:val="24"/>
          <w:szCs w:val="24"/>
          <w:lang w:bidi="en-GB"/>
        </w:rPr>
        <w:t>E</w:t>
      </w:r>
      <w:r w:rsidRPr="0005793B">
        <w:rPr>
          <w:color w:val="auto"/>
          <w:sz w:val="24"/>
          <w:szCs w:val="24"/>
          <w:lang w:bidi="en-GB"/>
        </w:rPr>
        <w:t>nsure timely intervention takes place when underachievement or poor progress is identified and model the school improvement process with school leaders to build resilience</w:t>
      </w:r>
    </w:p>
    <w:p w14:paraId="001446D8" w14:textId="77777777" w:rsidR="000015CC" w:rsidRPr="0005793B" w:rsidRDefault="000015CC" w:rsidP="000015CC">
      <w:pPr>
        <w:spacing w:line="240" w:lineRule="auto"/>
        <w:rPr>
          <w:color w:val="auto"/>
          <w:sz w:val="24"/>
          <w:szCs w:val="24"/>
          <w:lang w:bidi="en-GB"/>
        </w:rPr>
      </w:pPr>
      <w:r>
        <w:rPr>
          <w:color w:val="auto"/>
          <w:sz w:val="24"/>
          <w:szCs w:val="24"/>
          <w:lang w:bidi="en-GB"/>
        </w:rPr>
        <w:t>S</w:t>
      </w:r>
      <w:r w:rsidRPr="0005793B">
        <w:rPr>
          <w:color w:val="auto"/>
          <w:sz w:val="24"/>
          <w:szCs w:val="24"/>
          <w:lang w:bidi="en-GB"/>
        </w:rPr>
        <w:t xml:space="preserve">upport the </w:t>
      </w:r>
      <w:r>
        <w:rPr>
          <w:color w:val="auto"/>
          <w:sz w:val="24"/>
          <w:szCs w:val="24"/>
          <w:lang w:bidi="en-GB"/>
        </w:rPr>
        <w:t>academy</w:t>
      </w:r>
      <w:r w:rsidRPr="0005793B">
        <w:rPr>
          <w:color w:val="auto"/>
          <w:sz w:val="24"/>
          <w:szCs w:val="24"/>
          <w:lang w:bidi="en-GB"/>
        </w:rPr>
        <w:t xml:space="preserve"> leads responsible for training, mentoring and coaching of teaching staff as required to ensure progress and development are targeted where appropriate</w:t>
      </w:r>
    </w:p>
    <w:p w14:paraId="24EE6E1D" w14:textId="77777777" w:rsidR="000015CC" w:rsidRPr="00AC3BFB" w:rsidRDefault="000015CC" w:rsidP="000015CC">
      <w:pPr>
        <w:spacing w:line="240" w:lineRule="auto"/>
        <w:rPr>
          <w:color w:val="auto"/>
          <w:sz w:val="24"/>
          <w:szCs w:val="24"/>
        </w:rPr>
      </w:pPr>
      <w:r w:rsidRPr="00AC3BFB">
        <w:rPr>
          <w:color w:val="auto"/>
          <w:sz w:val="24"/>
          <w:szCs w:val="24"/>
        </w:rPr>
        <w:t xml:space="preserve">Provide reports </w:t>
      </w:r>
      <w:r>
        <w:rPr>
          <w:color w:val="auto"/>
          <w:sz w:val="24"/>
          <w:szCs w:val="24"/>
        </w:rPr>
        <w:t xml:space="preserve">as required </w:t>
      </w:r>
      <w:r w:rsidRPr="00AC3BFB">
        <w:rPr>
          <w:color w:val="auto"/>
          <w:sz w:val="24"/>
          <w:szCs w:val="24"/>
        </w:rPr>
        <w:t xml:space="preserve">to the </w:t>
      </w:r>
      <w:r>
        <w:rPr>
          <w:color w:val="auto"/>
          <w:sz w:val="24"/>
          <w:szCs w:val="24"/>
        </w:rPr>
        <w:t xml:space="preserve">CEO, Governing Bodies, Academy Trust </w:t>
      </w:r>
      <w:r w:rsidRPr="00AC3BFB">
        <w:rPr>
          <w:color w:val="auto"/>
          <w:sz w:val="24"/>
          <w:szCs w:val="24"/>
        </w:rPr>
        <w:t xml:space="preserve">Board </w:t>
      </w:r>
      <w:r>
        <w:rPr>
          <w:color w:val="auto"/>
          <w:sz w:val="24"/>
          <w:szCs w:val="24"/>
        </w:rPr>
        <w:t>etc</w:t>
      </w:r>
      <w:r w:rsidRPr="00AC3BFB">
        <w:rPr>
          <w:color w:val="auto"/>
          <w:sz w:val="24"/>
          <w:szCs w:val="24"/>
        </w:rPr>
        <w:t xml:space="preserve"> </w:t>
      </w:r>
    </w:p>
    <w:p w14:paraId="6A03175D" w14:textId="77777777" w:rsidR="000015CC" w:rsidRDefault="000015CC" w:rsidP="000015CC">
      <w:pPr>
        <w:spacing w:line="24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T</w:t>
      </w:r>
      <w:r w:rsidRPr="006D2B00">
        <w:rPr>
          <w:b/>
          <w:bCs/>
          <w:color w:val="auto"/>
          <w:sz w:val="24"/>
          <w:szCs w:val="24"/>
        </w:rPr>
        <w:t>eaching and curriculum excellence</w:t>
      </w:r>
    </w:p>
    <w:p w14:paraId="13A4478B" w14:textId="77777777" w:rsidR="000015CC" w:rsidRDefault="000015CC" w:rsidP="000015CC">
      <w:pPr>
        <w:spacing w:line="240" w:lineRule="auto"/>
        <w:rPr>
          <w:color w:val="auto"/>
          <w:sz w:val="24"/>
          <w:szCs w:val="24"/>
          <w:lang w:bidi="en-GB"/>
        </w:rPr>
      </w:pPr>
      <w:r w:rsidRPr="00AC3BFB">
        <w:rPr>
          <w:color w:val="auto"/>
          <w:sz w:val="24"/>
          <w:szCs w:val="24"/>
          <w:lang w:bidi="en-GB"/>
        </w:rPr>
        <w:t>Ensure a broad, structured and coherent curriculum is in place</w:t>
      </w:r>
      <w:r>
        <w:rPr>
          <w:color w:val="auto"/>
          <w:sz w:val="24"/>
          <w:szCs w:val="24"/>
          <w:lang w:bidi="en-GB"/>
        </w:rPr>
        <w:t xml:space="preserve"> </w:t>
      </w:r>
      <w:r w:rsidRPr="0005793B">
        <w:rPr>
          <w:color w:val="auto"/>
          <w:sz w:val="24"/>
          <w:szCs w:val="24"/>
          <w:lang w:bidi="en-GB"/>
        </w:rPr>
        <w:t xml:space="preserve">across the </w:t>
      </w:r>
      <w:r>
        <w:rPr>
          <w:color w:val="auto"/>
          <w:sz w:val="24"/>
          <w:szCs w:val="24"/>
          <w:lang w:bidi="en-GB"/>
        </w:rPr>
        <w:t>Trust.</w:t>
      </w:r>
    </w:p>
    <w:p w14:paraId="20596389" w14:textId="77777777" w:rsidR="000015CC" w:rsidRPr="0005793B" w:rsidRDefault="000015CC" w:rsidP="000015CC">
      <w:pPr>
        <w:spacing w:line="240" w:lineRule="auto"/>
        <w:rPr>
          <w:color w:val="auto"/>
          <w:sz w:val="24"/>
          <w:szCs w:val="24"/>
          <w:lang w:bidi="en-GB"/>
        </w:rPr>
      </w:pPr>
      <w:r w:rsidRPr="00AC3BFB">
        <w:rPr>
          <w:color w:val="auto"/>
          <w:sz w:val="24"/>
          <w:szCs w:val="24"/>
          <w:lang w:bidi="en-GB"/>
        </w:rPr>
        <w:t>Establish effective curricular leadership, developing subject leaders with high levels of relevant expertise with access to professional networks and communities.</w:t>
      </w:r>
    </w:p>
    <w:p w14:paraId="204C2F8D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 w:rsidRPr="00177BF4">
        <w:rPr>
          <w:color w:val="auto"/>
          <w:sz w:val="24"/>
          <w:szCs w:val="24"/>
        </w:rPr>
        <w:t>Demonstrate and articulate high expectations, aspirations and standards and set stretching targets.</w:t>
      </w:r>
    </w:p>
    <w:p w14:paraId="25C8F137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Teach regularly, leading by example in displaying those qualities expected of outstanding leaders/teachers with regard to subject knowledge, teaching skills, assessment, behaviour management and tutoring.</w:t>
      </w:r>
    </w:p>
    <w:p w14:paraId="28DA9F47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</w:t>
      </w:r>
      <w:r w:rsidRPr="00DF184F">
        <w:rPr>
          <w:color w:val="auto"/>
          <w:sz w:val="24"/>
          <w:szCs w:val="24"/>
        </w:rPr>
        <w:t>n occasion</w:t>
      </w:r>
      <w:r>
        <w:rPr>
          <w:color w:val="auto"/>
          <w:sz w:val="24"/>
          <w:szCs w:val="24"/>
        </w:rPr>
        <w:t>, act</w:t>
      </w:r>
      <w:r w:rsidRPr="00DF184F">
        <w:rPr>
          <w:color w:val="auto"/>
          <w:sz w:val="24"/>
          <w:szCs w:val="24"/>
        </w:rPr>
        <w:t xml:space="preserve"> for an extended period </w:t>
      </w:r>
      <w:r>
        <w:rPr>
          <w:color w:val="auto"/>
          <w:sz w:val="24"/>
          <w:szCs w:val="24"/>
        </w:rPr>
        <w:t>into the role of Head of Department or</w:t>
      </w:r>
      <w:r w:rsidRPr="00DF184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C</w:t>
      </w:r>
      <w:r w:rsidRPr="00DF184F">
        <w:rPr>
          <w:color w:val="auto"/>
          <w:sz w:val="24"/>
          <w:szCs w:val="24"/>
        </w:rPr>
        <w:t xml:space="preserve">urriculum </w:t>
      </w:r>
      <w:r>
        <w:rPr>
          <w:color w:val="auto"/>
          <w:sz w:val="24"/>
          <w:szCs w:val="24"/>
        </w:rPr>
        <w:t>L</w:t>
      </w:r>
      <w:r w:rsidRPr="00DF184F">
        <w:rPr>
          <w:color w:val="auto"/>
          <w:sz w:val="24"/>
          <w:szCs w:val="24"/>
        </w:rPr>
        <w:t xml:space="preserve">ead within a specific </w:t>
      </w:r>
      <w:r>
        <w:rPr>
          <w:color w:val="auto"/>
          <w:sz w:val="24"/>
          <w:szCs w:val="24"/>
        </w:rPr>
        <w:t>a</w:t>
      </w:r>
      <w:r w:rsidRPr="00DF184F">
        <w:rPr>
          <w:color w:val="auto"/>
          <w:sz w:val="24"/>
          <w:szCs w:val="24"/>
        </w:rPr>
        <w:t xml:space="preserve">cademy causing concern, where extensive support and challenge is required </w:t>
      </w:r>
    </w:p>
    <w:p w14:paraId="661D2787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 w:rsidRPr="00177BF4">
        <w:rPr>
          <w:color w:val="auto"/>
          <w:sz w:val="24"/>
          <w:szCs w:val="24"/>
        </w:rPr>
        <w:lastRenderedPageBreak/>
        <w:t>Keep up to date with national and local educational strategies and developments, communicating them to staff and implementing them as appropriate.</w:t>
      </w:r>
    </w:p>
    <w:p w14:paraId="078263DA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Ensure familiarity with current</w:t>
      </w:r>
      <w:r w:rsidRPr="00DF184F">
        <w:rPr>
          <w:color w:val="auto"/>
          <w:sz w:val="24"/>
          <w:szCs w:val="24"/>
        </w:rPr>
        <w:t xml:space="preserve"> Examination Board </w:t>
      </w:r>
      <w:r>
        <w:rPr>
          <w:color w:val="auto"/>
          <w:sz w:val="24"/>
          <w:szCs w:val="24"/>
        </w:rPr>
        <w:t>t</w:t>
      </w:r>
      <w:r w:rsidRPr="00DF184F">
        <w:rPr>
          <w:color w:val="auto"/>
          <w:sz w:val="24"/>
          <w:szCs w:val="24"/>
        </w:rPr>
        <w:t xml:space="preserve">raining and marking and ensure that </w:t>
      </w:r>
      <w:r>
        <w:rPr>
          <w:color w:val="auto"/>
          <w:sz w:val="24"/>
          <w:szCs w:val="24"/>
        </w:rPr>
        <w:t>Heads of Departments</w:t>
      </w:r>
      <w:r w:rsidRPr="00DF184F">
        <w:rPr>
          <w:color w:val="auto"/>
          <w:sz w:val="24"/>
          <w:szCs w:val="24"/>
        </w:rPr>
        <w:t xml:space="preserve"> and </w:t>
      </w:r>
      <w:r>
        <w:rPr>
          <w:color w:val="auto"/>
          <w:sz w:val="24"/>
          <w:szCs w:val="24"/>
        </w:rPr>
        <w:t>staff</w:t>
      </w:r>
      <w:r w:rsidRPr="00DF184F">
        <w:rPr>
          <w:color w:val="auto"/>
          <w:sz w:val="24"/>
          <w:szCs w:val="24"/>
        </w:rPr>
        <w:t xml:space="preserve"> are highly skilled in the accurate moderation of students’ work.  </w:t>
      </w:r>
      <w:r>
        <w:rPr>
          <w:color w:val="auto"/>
          <w:sz w:val="24"/>
          <w:szCs w:val="24"/>
        </w:rPr>
        <w:t>S</w:t>
      </w:r>
      <w:r w:rsidRPr="00DF184F">
        <w:rPr>
          <w:color w:val="auto"/>
          <w:sz w:val="24"/>
          <w:szCs w:val="24"/>
        </w:rPr>
        <w:t>upport this with Trust-wide moderation of students’ assessment in years 7 to 13 (where applicable)</w:t>
      </w:r>
      <w:r>
        <w:rPr>
          <w:color w:val="auto"/>
          <w:sz w:val="24"/>
          <w:szCs w:val="24"/>
        </w:rPr>
        <w:t>.</w:t>
      </w:r>
    </w:p>
    <w:p w14:paraId="303D54B3" w14:textId="77777777" w:rsidR="000015CC" w:rsidRDefault="000015CC" w:rsidP="000015CC">
      <w:pPr>
        <w:spacing w:line="24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L</w:t>
      </w:r>
      <w:r w:rsidRPr="006D2B00">
        <w:rPr>
          <w:b/>
          <w:bCs/>
          <w:color w:val="auto"/>
          <w:sz w:val="24"/>
          <w:szCs w:val="24"/>
        </w:rPr>
        <w:t>eading with impact</w:t>
      </w:r>
    </w:p>
    <w:p w14:paraId="3BE71AD7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bookmarkStart w:id="0" w:name="_Hlk117578606"/>
      <w:r w:rsidRPr="00AC3BFB">
        <w:rPr>
          <w:color w:val="auto"/>
          <w:sz w:val="24"/>
          <w:szCs w:val="24"/>
        </w:rPr>
        <w:t>Be an advocate for the vision and aims of the Trust and support its mission to provide opportunities for collaboration, support and challenge</w:t>
      </w:r>
      <w:r>
        <w:rPr>
          <w:color w:val="auto"/>
          <w:sz w:val="24"/>
          <w:szCs w:val="24"/>
        </w:rPr>
        <w:t>.</w:t>
      </w:r>
    </w:p>
    <w:p w14:paraId="2BFD6C58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 w:rsidRPr="00AC3BFB">
        <w:rPr>
          <w:color w:val="auto"/>
          <w:sz w:val="24"/>
          <w:szCs w:val="24"/>
        </w:rPr>
        <w:t xml:space="preserve">Support </w:t>
      </w:r>
      <w:r>
        <w:rPr>
          <w:color w:val="auto"/>
          <w:sz w:val="24"/>
          <w:szCs w:val="24"/>
        </w:rPr>
        <w:t>academies</w:t>
      </w:r>
      <w:r w:rsidRPr="00AC3BFB">
        <w:rPr>
          <w:color w:val="auto"/>
          <w:sz w:val="24"/>
          <w:szCs w:val="24"/>
        </w:rPr>
        <w:t xml:space="preserve"> in preparing for OFSTED inspections</w:t>
      </w:r>
      <w:r>
        <w:rPr>
          <w:color w:val="auto"/>
          <w:sz w:val="24"/>
          <w:szCs w:val="24"/>
        </w:rPr>
        <w:t>.</w:t>
      </w:r>
    </w:p>
    <w:p w14:paraId="34323553" w14:textId="77777777" w:rsidR="000015CC" w:rsidRPr="00AC3BFB" w:rsidRDefault="000015CC" w:rsidP="000015CC">
      <w:pPr>
        <w:spacing w:line="240" w:lineRule="auto"/>
        <w:rPr>
          <w:color w:val="auto"/>
          <w:sz w:val="24"/>
          <w:szCs w:val="24"/>
        </w:rPr>
      </w:pPr>
      <w:r w:rsidRPr="00AC3BFB">
        <w:rPr>
          <w:color w:val="auto"/>
          <w:sz w:val="24"/>
          <w:szCs w:val="24"/>
        </w:rPr>
        <w:t>Support with the educational due diligence for schools looking to join the Trust.</w:t>
      </w:r>
    </w:p>
    <w:p w14:paraId="05348454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 w:rsidRPr="00AC3BFB">
        <w:rPr>
          <w:color w:val="auto"/>
          <w:sz w:val="24"/>
          <w:szCs w:val="24"/>
        </w:rPr>
        <w:t xml:space="preserve">Ensure that inclusion is at the heart of the work of the Trust and that each </w:t>
      </w:r>
      <w:r>
        <w:rPr>
          <w:color w:val="auto"/>
          <w:sz w:val="24"/>
          <w:szCs w:val="24"/>
        </w:rPr>
        <w:t>academy</w:t>
      </w:r>
      <w:r w:rsidRPr="00AC3BFB">
        <w:rPr>
          <w:color w:val="auto"/>
          <w:sz w:val="24"/>
          <w:szCs w:val="24"/>
        </w:rPr>
        <w:t xml:space="preserve"> demonstrates this in its practices.</w:t>
      </w:r>
    </w:p>
    <w:p w14:paraId="4AC52F74" w14:textId="77777777" w:rsidR="000015CC" w:rsidRPr="00876C92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</w:t>
      </w:r>
      <w:r w:rsidRPr="00876C92">
        <w:rPr>
          <w:color w:val="auto"/>
          <w:sz w:val="24"/>
          <w:szCs w:val="24"/>
        </w:rPr>
        <w:t xml:space="preserve">e keenly aware of the responsibility for safeguarding children and alert pastoral and other staff to problems arising with individual </w:t>
      </w:r>
      <w:r>
        <w:rPr>
          <w:color w:val="auto"/>
          <w:sz w:val="24"/>
          <w:szCs w:val="24"/>
        </w:rPr>
        <w:t>student</w:t>
      </w:r>
      <w:r w:rsidRPr="00876C92">
        <w:rPr>
          <w:color w:val="auto"/>
          <w:sz w:val="24"/>
          <w:szCs w:val="24"/>
        </w:rPr>
        <w:t>s</w:t>
      </w:r>
      <w:r>
        <w:rPr>
          <w:color w:val="auto"/>
          <w:sz w:val="24"/>
          <w:szCs w:val="24"/>
        </w:rPr>
        <w:t>.</w:t>
      </w:r>
    </w:p>
    <w:bookmarkEnd w:id="0"/>
    <w:p w14:paraId="09BA640A" w14:textId="77777777" w:rsidR="000015CC" w:rsidRPr="001D1A41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Line manage staff as required, e</w:t>
      </w:r>
      <w:r w:rsidRPr="00177BF4">
        <w:rPr>
          <w:color w:val="auto"/>
          <w:sz w:val="24"/>
          <w:szCs w:val="24"/>
        </w:rPr>
        <w:t>nsur</w:t>
      </w:r>
      <w:r>
        <w:rPr>
          <w:color w:val="auto"/>
          <w:sz w:val="24"/>
          <w:szCs w:val="24"/>
        </w:rPr>
        <w:t>ing</w:t>
      </w:r>
      <w:r w:rsidRPr="00177BF4">
        <w:rPr>
          <w:color w:val="auto"/>
          <w:sz w:val="24"/>
          <w:szCs w:val="24"/>
        </w:rPr>
        <w:t xml:space="preserve"> individual staff accountabilities are clearly defined, understood and agreed</w:t>
      </w:r>
      <w:r>
        <w:rPr>
          <w:color w:val="auto"/>
          <w:sz w:val="24"/>
          <w:szCs w:val="24"/>
        </w:rPr>
        <w:t xml:space="preserve">.  </w:t>
      </w:r>
      <w:r w:rsidRPr="001D1A41">
        <w:rPr>
          <w:color w:val="auto"/>
          <w:sz w:val="24"/>
          <w:szCs w:val="24"/>
        </w:rPr>
        <w:t>Implement successful performance management processes and continuing professional development programmes for all staff.</w:t>
      </w:r>
    </w:p>
    <w:p w14:paraId="4E9C8084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M</w:t>
      </w:r>
      <w:r w:rsidRPr="006D2B00">
        <w:rPr>
          <w:b/>
          <w:bCs/>
          <w:color w:val="auto"/>
          <w:sz w:val="24"/>
          <w:szCs w:val="24"/>
        </w:rPr>
        <w:t>anaging resources and risks</w:t>
      </w:r>
      <w:r w:rsidRPr="006D2B00">
        <w:rPr>
          <w:color w:val="auto"/>
          <w:sz w:val="24"/>
          <w:szCs w:val="24"/>
        </w:rPr>
        <w:t xml:space="preserve"> </w:t>
      </w:r>
    </w:p>
    <w:p w14:paraId="64FB1A39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Pr="00673034">
        <w:rPr>
          <w:color w:val="auto"/>
          <w:sz w:val="24"/>
          <w:szCs w:val="24"/>
        </w:rPr>
        <w:t xml:space="preserve">dvise on </w:t>
      </w:r>
      <w:r>
        <w:rPr>
          <w:color w:val="auto"/>
          <w:sz w:val="24"/>
          <w:szCs w:val="24"/>
        </w:rPr>
        <w:t>and</w:t>
      </w:r>
      <w:r w:rsidRPr="00673034">
        <w:rPr>
          <w:color w:val="auto"/>
          <w:sz w:val="24"/>
          <w:szCs w:val="24"/>
        </w:rPr>
        <w:t xml:space="preserve"> assist in the procurement of resources for departmental teams and individual teachers</w:t>
      </w:r>
      <w:r>
        <w:rPr>
          <w:color w:val="auto"/>
          <w:sz w:val="24"/>
          <w:szCs w:val="24"/>
        </w:rPr>
        <w:t>.</w:t>
      </w:r>
    </w:p>
    <w:p w14:paraId="1029E77C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</w:t>
      </w:r>
      <w:r w:rsidRPr="006D2B00">
        <w:rPr>
          <w:b/>
          <w:bCs/>
          <w:color w:val="auto"/>
          <w:sz w:val="24"/>
          <w:szCs w:val="24"/>
        </w:rPr>
        <w:t>orking in partnership</w:t>
      </w:r>
      <w:r w:rsidRPr="00F76EAA">
        <w:rPr>
          <w:color w:val="auto"/>
          <w:sz w:val="24"/>
          <w:szCs w:val="24"/>
        </w:rPr>
        <w:t xml:space="preserve"> </w:t>
      </w:r>
    </w:p>
    <w:p w14:paraId="32A22D4E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Liaise with feeder primary schools to support transition and share expertise as required.</w:t>
      </w:r>
    </w:p>
    <w:p w14:paraId="12B0D817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Support the</w:t>
      </w:r>
      <w:r w:rsidRPr="00736C7B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Trust’s</w:t>
      </w:r>
      <w:r w:rsidRPr="00736C7B">
        <w:rPr>
          <w:color w:val="auto"/>
          <w:sz w:val="24"/>
          <w:szCs w:val="24"/>
        </w:rPr>
        <w:t xml:space="preserve"> ethos, which enables everyone to work collaboratively, share knowledge and understanding, celebrate success and accept responsibility for outcomes</w:t>
      </w:r>
      <w:r>
        <w:rPr>
          <w:color w:val="auto"/>
          <w:sz w:val="24"/>
          <w:szCs w:val="24"/>
        </w:rPr>
        <w:t>.</w:t>
      </w:r>
    </w:p>
    <w:p w14:paraId="255E9A29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Represent the Trust in external meetings with a wide range of other organisations and agencies</w:t>
      </w:r>
      <w:r w:rsidRPr="00177BF4">
        <w:rPr>
          <w:color w:val="auto"/>
          <w:sz w:val="24"/>
          <w:szCs w:val="24"/>
        </w:rPr>
        <w:t>.</w:t>
      </w:r>
    </w:p>
    <w:p w14:paraId="394CEC63" w14:textId="77777777" w:rsidR="000015CC" w:rsidRDefault="000015CC" w:rsidP="000015CC">
      <w:pPr>
        <w:spacing w:line="240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I</w:t>
      </w:r>
      <w:r w:rsidRPr="006D2B00">
        <w:rPr>
          <w:b/>
          <w:bCs/>
          <w:color w:val="auto"/>
          <w:sz w:val="24"/>
          <w:szCs w:val="24"/>
        </w:rPr>
        <w:t>ncreasing capability</w:t>
      </w:r>
    </w:p>
    <w:p w14:paraId="57157578" w14:textId="77777777" w:rsidR="000015CC" w:rsidRPr="00DF184F" w:rsidRDefault="000015CC" w:rsidP="000015CC">
      <w:pPr>
        <w:spacing w:line="240" w:lineRule="auto"/>
        <w:rPr>
          <w:color w:val="auto"/>
          <w:sz w:val="24"/>
          <w:szCs w:val="24"/>
        </w:rPr>
      </w:pPr>
      <w:bookmarkStart w:id="1" w:name="_Hlk117578627"/>
      <w:r w:rsidRPr="00DF184F">
        <w:rPr>
          <w:color w:val="auto"/>
          <w:sz w:val="24"/>
          <w:szCs w:val="24"/>
        </w:rPr>
        <w:t xml:space="preserve">Identify where best practice is in the Trust and facilitate meaningful collaboration.  </w:t>
      </w:r>
    </w:p>
    <w:p w14:paraId="6D485ED3" w14:textId="77777777" w:rsidR="000015CC" w:rsidRDefault="000015CC" w:rsidP="000015CC">
      <w:pPr>
        <w:spacing w:line="240" w:lineRule="auto"/>
        <w:rPr>
          <w:color w:val="auto"/>
          <w:sz w:val="24"/>
          <w:szCs w:val="24"/>
        </w:rPr>
      </w:pPr>
      <w:r w:rsidRPr="00DF184F">
        <w:rPr>
          <w:color w:val="auto"/>
          <w:sz w:val="24"/>
          <w:szCs w:val="24"/>
        </w:rPr>
        <w:t>Identify and utilise external sources of support for the Trust academies where appropriate.</w:t>
      </w:r>
    </w:p>
    <w:p w14:paraId="0C6AA384" w14:textId="77777777" w:rsidR="000015CC" w:rsidRDefault="000015CC" w:rsidP="000015CC">
      <w:pPr>
        <w:spacing w:line="240" w:lineRule="auto"/>
      </w:pPr>
      <w:bookmarkStart w:id="2" w:name="_Hlk117578689"/>
      <w:bookmarkEnd w:id="1"/>
      <w:r>
        <w:rPr>
          <w:color w:val="auto"/>
          <w:sz w:val="24"/>
          <w:szCs w:val="24"/>
        </w:rPr>
        <w:t xml:space="preserve">Operate at all times within </w:t>
      </w:r>
      <w:r w:rsidRPr="00244C15">
        <w:rPr>
          <w:color w:val="auto"/>
          <w:sz w:val="24"/>
          <w:szCs w:val="24"/>
        </w:rPr>
        <w:t xml:space="preserve">the statutory framework for professional duties of teachers, </w:t>
      </w:r>
      <w:r>
        <w:rPr>
          <w:color w:val="auto"/>
          <w:sz w:val="24"/>
          <w:szCs w:val="24"/>
        </w:rPr>
        <w:t xml:space="preserve">and </w:t>
      </w:r>
      <w:r w:rsidRPr="00244C15">
        <w:rPr>
          <w:color w:val="auto"/>
          <w:sz w:val="24"/>
          <w:szCs w:val="24"/>
        </w:rPr>
        <w:t>the policies and pr</w:t>
      </w:r>
      <w:r>
        <w:rPr>
          <w:color w:val="auto"/>
          <w:sz w:val="24"/>
          <w:szCs w:val="24"/>
        </w:rPr>
        <w:t>ocedures</w:t>
      </w:r>
      <w:r w:rsidRPr="00244C15">
        <w:rPr>
          <w:color w:val="auto"/>
          <w:sz w:val="24"/>
          <w:szCs w:val="24"/>
        </w:rPr>
        <w:t xml:space="preserve"> of the </w:t>
      </w:r>
      <w:r>
        <w:rPr>
          <w:color w:val="auto"/>
          <w:sz w:val="24"/>
          <w:szCs w:val="24"/>
        </w:rPr>
        <w:t>Trust.</w:t>
      </w:r>
    </w:p>
    <w:bookmarkEnd w:id="2"/>
    <w:p w14:paraId="720FB0ED" w14:textId="77777777" w:rsidR="000015CC" w:rsidRDefault="000015CC" w:rsidP="000015CC">
      <w:pPr>
        <w:spacing w:after="160" w:line="259" w:lineRule="auto"/>
      </w:pPr>
    </w:p>
    <w:p w14:paraId="4C855EA2" w14:textId="703FDB47" w:rsidR="009E1305" w:rsidRDefault="000015CC" w:rsidP="000015CC">
      <w:pPr>
        <w:spacing w:after="160" w:line="259" w:lineRule="auto"/>
        <w:sectPr w:rsidR="009E1305" w:rsidSect="009303F5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>
        <w:rPr>
          <w:i/>
          <w:iCs/>
          <w:sz w:val="24"/>
          <w:szCs w:val="24"/>
        </w:rPr>
        <w:t>CEO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</w:p>
    <w:p w14:paraId="2BB63D1F" w14:textId="617721A1" w:rsidR="009E1305" w:rsidRPr="00EF6F3F" w:rsidRDefault="009E1305" w:rsidP="009E1305">
      <w:pPr>
        <w:rPr>
          <w:rFonts w:asciiTheme="majorHAnsi" w:hAnsiTheme="majorHAnsi"/>
          <w:b/>
          <w:bCs/>
          <w:color w:val="2F5597"/>
          <w:sz w:val="40"/>
          <w:szCs w:val="40"/>
        </w:rPr>
      </w:pPr>
      <w:r w:rsidRPr="00EF6F3F">
        <w:rPr>
          <w:rFonts w:asciiTheme="majorHAnsi" w:hAnsiTheme="majorHAnsi"/>
          <w:b/>
          <w:bCs/>
          <w:color w:val="2F5597"/>
          <w:sz w:val="40"/>
          <w:szCs w:val="40"/>
        </w:rPr>
        <w:lastRenderedPageBreak/>
        <w:t>Person Specification</w:t>
      </w:r>
      <w:r w:rsidR="004753AF" w:rsidRPr="00EF6F3F">
        <w:rPr>
          <w:rFonts w:asciiTheme="majorHAnsi" w:hAnsiTheme="majorHAnsi"/>
          <w:b/>
          <w:bCs/>
          <w:color w:val="2F5597"/>
          <w:sz w:val="40"/>
          <w:szCs w:val="40"/>
        </w:rPr>
        <w:t xml:space="preserve">: </w:t>
      </w:r>
      <w:r w:rsidR="000015CC">
        <w:rPr>
          <w:rFonts w:asciiTheme="majorHAnsi" w:hAnsiTheme="majorHAnsi"/>
          <w:b/>
          <w:bCs/>
          <w:color w:val="2F5597"/>
          <w:sz w:val="40"/>
          <w:szCs w:val="40"/>
        </w:rPr>
        <w:t>Director of Specialism - Maths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5"/>
        <w:gridCol w:w="3828"/>
        <w:gridCol w:w="2019"/>
      </w:tblGrid>
      <w:tr w:rsidR="009E1305" w:rsidRPr="00496E5F" w14:paraId="382859B6" w14:textId="77777777" w:rsidTr="00EF6F3F">
        <w:tc>
          <w:tcPr>
            <w:tcW w:w="2122" w:type="dxa"/>
            <w:shd w:val="clear" w:color="auto" w:fill="2F5597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6945" w:type="dxa"/>
            <w:shd w:val="clear" w:color="auto" w:fill="2F5597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3828" w:type="dxa"/>
            <w:shd w:val="clear" w:color="auto" w:fill="2F5597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019" w:type="dxa"/>
            <w:shd w:val="clear" w:color="auto" w:fill="2F5597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203B3C" w:rsidRPr="007D5E83" w14:paraId="6DB11CA9" w14:textId="77777777" w:rsidTr="00503E48">
        <w:tc>
          <w:tcPr>
            <w:tcW w:w="2122" w:type="dxa"/>
          </w:tcPr>
          <w:p w14:paraId="38509E73" w14:textId="77777777" w:rsidR="00203B3C" w:rsidRPr="007D5E83" w:rsidRDefault="00203B3C" w:rsidP="00503E48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6945" w:type="dxa"/>
          </w:tcPr>
          <w:p w14:paraId="07DB801E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7D5E83">
              <w:rPr>
                <w:sz w:val="24"/>
                <w:szCs w:val="24"/>
              </w:rPr>
              <w:t>egree</w:t>
            </w:r>
            <w:r>
              <w:rPr>
                <w:sz w:val="24"/>
                <w:szCs w:val="24"/>
              </w:rPr>
              <w:t xml:space="preserve"> (or equivalent) in subject specialism</w:t>
            </w:r>
          </w:p>
          <w:p w14:paraId="0ACEA650" w14:textId="77777777" w:rsidR="00203B3C" w:rsidRDefault="00203B3C" w:rsidP="00503E48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Qualified Teacher Status</w:t>
            </w:r>
          </w:p>
          <w:p w14:paraId="34CF135F" w14:textId="77777777" w:rsidR="00203B3C" w:rsidRPr="007D5E83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Recent relevant professional development</w:t>
            </w:r>
          </w:p>
        </w:tc>
        <w:tc>
          <w:tcPr>
            <w:tcW w:w="3828" w:type="dxa"/>
          </w:tcPr>
          <w:p w14:paraId="0726E1DB" w14:textId="77777777" w:rsidR="00203B3C" w:rsidRPr="007D5E83" w:rsidRDefault="00203B3C" w:rsidP="00503E48">
            <w:pPr>
              <w:rPr>
                <w:sz w:val="24"/>
                <w:szCs w:val="24"/>
              </w:rPr>
            </w:pPr>
            <w:r w:rsidRPr="00673034">
              <w:rPr>
                <w:sz w:val="24"/>
                <w:szCs w:val="24"/>
              </w:rPr>
              <w:t>Higher degree or post graduate curriculum or leadership and management qualification</w:t>
            </w:r>
          </w:p>
        </w:tc>
        <w:tc>
          <w:tcPr>
            <w:tcW w:w="2019" w:type="dxa"/>
          </w:tcPr>
          <w:p w14:paraId="79B346D4" w14:textId="77777777" w:rsidR="00203B3C" w:rsidRPr="007D5E83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203B3C" w:rsidRPr="007D5E83" w14:paraId="6C9C2A40" w14:textId="77777777" w:rsidTr="00503E48">
        <w:tc>
          <w:tcPr>
            <w:tcW w:w="2122" w:type="dxa"/>
          </w:tcPr>
          <w:p w14:paraId="3EA58418" w14:textId="77777777" w:rsidR="00203B3C" w:rsidRPr="007D5E83" w:rsidRDefault="00203B3C" w:rsidP="00503E48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6945" w:type="dxa"/>
          </w:tcPr>
          <w:p w14:paraId="6EC95A91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673034">
              <w:rPr>
                <w:sz w:val="24"/>
                <w:szCs w:val="24"/>
              </w:rPr>
              <w:t>Successful sustained experience of teaching in KS3 and KS4 which is at least good</w:t>
            </w:r>
          </w:p>
          <w:p w14:paraId="3DA46250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Demonstrable</w:t>
            </w:r>
            <w:r w:rsidRPr="00673034">
              <w:rPr>
                <w:sz w:val="24"/>
                <w:szCs w:val="24"/>
              </w:rPr>
              <w:t xml:space="preserve"> track record of examination success and curriculum leadership in specialist curriculum area</w:t>
            </w:r>
          </w:p>
          <w:p w14:paraId="665C77CB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673034">
              <w:rPr>
                <w:sz w:val="24"/>
                <w:szCs w:val="24"/>
              </w:rPr>
              <w:t xml:space="preserve">Specialist Leader in Education (SLE) within </w:t>
            </w:r>
            <w:r>
              <w:rPr>
                <w:sz w:val="24"/>
                <w:szCs w:val="24"/>
              </w:rPr>
              <w:t>the</w:t>
            </w:r>
            <w:r w:rsidRPr="006730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subject</w:t>
            </w:r>
            <w:r w:rsidRPr="006730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specialism </w:t>
            </w:r>
            <w:r w:rsidRPr="00673034">
              <w:rPr>
                <w:sz w:val="24"/>
                <w:szCs w:val="24"/>
              </w:rPr>
              <w:t xml:space="preserve">or an outstanding practitioner with at least two years middle or senior leadership experience </w:t>
            </w:r>
          </w:p>
          <w:p w14:paraId="046C93B2" w14:textId="77777777" w:rsidR="00203B3C" w:rsidRPr="007D5E83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673034">
              <w:rPr>
                <w:sz w:val="24"/>
                <w:szCs w:val="24"/>
              </w:rPr>
              <w:t>Experience of monitoring and evaluating teaching/learning and target setting including the ability to accurately analyse data</w:t>
            </w:r>
          </w:p>
        </w:tc>
        <w:tc>
          <w:tcPr>
            <w:tcW w:w="3828" w:type="dxa"/>
          </w:tcPr>
          <w:p w14:paraId="546ACB2F" w14:textId="77777777" w:rsidR="00203B3C" w:rsidRPr="007D5E83" w:rsidRDefault="00203B3C" w:rsidP="00503E48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2001BAC5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7D66D23B" w14:textId="77777777" w:rsidR="00203B3C" w:rsidRPr="007D5E83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203B3C" w:rsidRPr="007D5E83" w14:paraId="79C94922" w14:textId="77777777" w:rsidTr="00503E48">
        <w:tc>
          <w:tcPr>
            <w:tcW w:w="2122" w:type="dxa"/>
          </w:tcPr>
          <w:p w14:paraId="3E0DCD2A" w14:textId="77777777" w:rsidR="00203B3C" w:rsidRPr="007D5E83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6945" w:type="dxa"/>
          </w:tcPr>
          <w:p w14:paraId="32849E19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540FCB">
              <w:rPr>
                <w:sz w:val="24"/>
                <w:szCs w:val="24"/>
              </w:rPr>
              <w:t>Good knowledge of the school self-evaluation and planning framework and ability to contribute to implementation</w:t>
            </w:r>
          </w:p>
          <w:p w14:paraId="24B1F6C2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540FCB">
              <w:rPr>
                <w:sz w:val="24"/>
                <w:szCs w:val="24"/>
              </w:rPr>
              <w:t>ound knowledge of strategies to enhance teaching and learning opportunities within schools</w:t>
            </w:r>
          </w:p>
          <w:p w14:paraId="5A542380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Awareness of current national educational policy and OFSTED developments</w:t>
            </w:r>
          </w:p>
          <w:p w14:paraId="68E2DA16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effective monitoring, evaluating and reviewing performance, through a robust performance management approach</w:t>
            </w:r>
          </w:p>
          <w:p w14:paraId="61D5701B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Role-model classroom practitioner with a track record of delivering outstanding teaching and positive impact on student progress</w:t>
            </w:r>
          </w:p>
          <w:p w14:paraId="543AAE26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Proficiency with data analysis and ability to use data to set targets, identify weakness and demonstrate impact</w:t>
            </w:r>
          </w:p>
          <w:p w14:paraId="6A37C8AF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4232E1">
              <w:rPr>
                <w:sz w:val="24"/>
                <w:szCs w:val="24"/>
              </w:rPr>
              <w:t xml:space="preserve">Ability to </w:t>
            </w:r>
            <w:r>
              <w:rPr>
                <w:sz w:val="24"/>
                <w:szCs w:val="24"/>
              </w:rPr>
              <w:t xml:space="preserve">respond to feedback, </w:t>
            </w:r>
            <w:r w:rsidRPr="004232E1">
              <w:rPr>
                <w:sz w:val="24"/>
                <w:szCs w:val="24"/>
              </w:rPr>
              <w:t xml:space="preserve">reflect on and develop own </w:t>
            </w:r>
            <w:r>
              <w:rPr>
                <w:sz w:val="24"/>
                <w:szCs w:val="24"/>
              </w:rPr>
              <w:t xml:space="preserve">professional </w:t>
            </w:r>
            <w:r w:rsidRPr="004232E1">
              <w:rPr>
                <w:sz w:val="24"/>
                <w:szCs w:val="24"/>
              </w:rPr>
              <w:t>practice</w:t>
            </w:r>
          </w:p>
          <w:p w14:paraId="791ADC74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CC2D69">
              <w:rPr>
                <w:sz w:val="24"/>
                <w:szCs w:val="24"/>
              </w:rPr>
              <w:t xml:space="preserve">Excellent </w:t>
            </w:r>
            <w:r>
              <w:rPr>
                <w:sz w:val="24"/>
                <w:szCs w:val="24"/>
              </w:rPr>
              <w:t>communicator with strong interpersonal skills (written, verbal, influencing &amp; negotiation skills)</w:t>
            </w:r>
          </w:p>
          <w:p w14:paraId="16884A26" w14:textId="77777777" w:rsidR="00203B3C" w:rsidRPr="00540FCB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540FCB">
              <w:rPr>
                <w:sz w:val="24"/>
                <w:szCs w:val="24"/>
              </w:rPr>
              <w:t>Understands and acts on responsibility for the safeguarding and welfare of students</w:t>
            </w:r>
          </w:p>
          <w:p w14:paraId="05915EF6" w14:textId="77777777" w:rsidR="00203B3C" w:rsidRPr="007D5E83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540FCB">
              <w:rPr>
                <w:sz w:val="24"/>
                <w:szCs w:val="24"/>
              </w:rPr>
              <w:t>Maintains appropriate professional boundaries with students and parents</w:t>
            </w:r>
          </w:p>
        </w:tc>
        <w:tc>
          <w:tcPr>
            <w:tcW w:w="3828" w:type="dxa"/>
          </w:tcPr>
          <w:p w14:paraId="34F4BDF6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Experience of securing additional funding sources </w:t>
            </w:r>
          </w:p>
          <w:p w14:paraId="2C2861DB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level ICT skills </w:t>
            </w:r>
          </w:p>
          <w:p w14:paraId="243EE015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behaviour management skills</w:t>
            </w:r>
          </w:p>
          <w:p w14:paraId="1B275116" w14:textId="77777777" w:rsidR="00203B3C" w:rsidRPr="007D5E83" w:rsidRDefault="00203B3C" w:rsidP="00503E48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4E5E6918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16F2AF17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7733B202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154100D3" w14:textId="77777777" w:rsidR="00203B3C" w:rsidRPr="007D5E83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203B3C" w:rsidRPr="007D5E83" w14:paraId="51033788" w14:textId="77777777" w:rsidTr="00503E48">
        <w:tc>
          <w:tcPr>
            <w:tcW w:w="2122" w:type="dxa"/>
          </w:tcPr>
          <w:p w14:paraId="3A079D2E" w14:textId="77777777" w:rsidR="00203B3C" w:rsidRPr="007D5E83" w:rsidRDefault="00203B3C" w:rsidP="00503E48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6945" w:type="dxa"/>
          </w:tcPr>
          <w:p w14:paraId="5125C30E" w14:textId="77777777" w:rsidR="00203B3C" w:rsidRPr="00540FCB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540FCB">
              <w:rPr>
                <w:sz w:val="24"/>
                <w:szCs w:val="24"/>
              </w:rPr>
              <w:t>A positive role model of professional practice and conduct to others</w:t>
            </w:r>
          </w:p>
          <w:p w14:paraId="30B8C5A8" w14:textId="77777777" w:rsidR="00203B3C" w:rsidRPr="00540FCB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540FCB">
              <w:rPr>
                <w:sz w:val="24"/>
                <w:szCs w:val="24"/>
              </w:rPr>
              <w:t xml:space="preserve">A high level of personal effectiveness including good organisational, planning and prioritisation skills and ability to meet deadlines </w:t>
            </w:r>
          </w:p>
          <w:p w14:paraId="3B838224" w14:textId="77777777" w:rsidR="00203B3C" w:rsidRPr="00540FCB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540FCB">
              <w:rPr>
                <w:sz w:val="24"/>
                <w:szCs w:val="24"/>
              </w:rPr>
              <w:t>Punctual and reliable</w:t>
            </w:r>
          </w:p>
          <w:p w14:paraId="3F247D30" w14:textId="77777777" w:rsidR="00203B3C" w:rsidRPr="00540FCB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540FCB">
              <w:rPr>
                <w:sz w:val="24"/>
                <w:szCs w:val="24"/>
              </w:rPr>
              <w:t>Personal resilience including ability to work effectively under pressure and responding positively to change</w:t>
            </w:r>
          </w:p>
          <w:p w14:paraId="75E379AB" w14:textId="77777777" w:rsidR="00203B3C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 w:rsidRPr="00540FCB">
              <w:rPr>
                <w:sz w:val="24"/>
                <w:szCs w:val="24"/>
              </w:rPr>
              <w:t>Suitability to work with children</w:t>
            </w:r>
          </w:p>
          <w:p w14:paraId="32BF9028" w14:textId="77777777" w:rsidR="00203B3C" w:rsidRPr="007D5E83" w:rsidRDefault="00203B3C" w:rsidP="00503E4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drive between Trust sites or access to mobility support</w:t>
            </w:r>
          </w:p>
        </w:tc>
        <w:tc>
          <w:tcPr>
            <w:tcW w:w="3828" w:type="dxa"/>
          </w:tcPr>
          <w:p w14:paraId="7A0A0BE5" w14:textId="77777777" w:rsidR="00203B3C" w:rsidRPr="007D5E83" w:rsidRDefault="00203B3C" w:rsidP="00503E48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6E774753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70F83429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7CF5F038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020D80C5" w14:textId="77777777" w:rsidR="00203B3C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References, </w:t>
            </w:r>
          </w:p>
          <w:p w14:paraId="5B11B2BF" w14:textId="77777777" w:rsidR="00203B3C" w:rsidRPr="007D5E83" w:rsidRDefault="00203B3C" w:rsidP="0050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DBS check</w:t>
            </w:r>
          </w:p>
        </w:tc>
      </w:tr>
      <w:tr w:rsidR="009E1305" w:rsidRPr="007D5E83" w14:paraId="2E10AED7" w14:textId="77777777" w:rsidTr="006E098B">
        <w:tc>
          <w:tcPr>
            <w:tcW w:w="2122" w:type="dxa"/>
          </w:tcPr>
          <w:p w14:paraId="47ACB489" w14:textId="4B50E15E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6945" w:type="dxa"/>
          </w:tcPr>
          <w:p w14:paraId="7FAA5F8F" w14:textId="7DBF92FF" w:rsidR="00CC2D69" w:rsidRPr="005C0FA5" w:rsidRDefault="00CC2D69" w:rsidP="009E1305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A positive role model of professional practice and conduct to others</w:t>
            </w:r>
          </w:p>
          <w:p w14:paraId="42768C10" w14:textId="0F99BEA8" w:rsidR="004232E1" w:rsidRPr="005C0FA5" w:rsidRDefault="004232E1" w:rsidP="00CC2D69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 xml:space="preserve">A high level of personal effectiveness including good organisational, planning and prioritisation skills and ability to meet deadlines </w:t>
            </w:r>
          </w:p>
          <w:p w14:paraId="1EEB28E4" w14:textId="41ADC54A" w:rsidR="00CC2D69" w:rsidRPr="005C0FA5" w:rsidRDefault="00CC2D69" w:rsidP="00CC2D69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Ability to work effectively as part of a team</w:t>
            </w:r>
          </w:p>
          <w:p w14:paraId="4D8A4D0E" w14:textId="73CD7B5C" w:rsidR="00CC2D69" w:rsidRPr="005C0FA5" w:rsidRDefault="00CC2D69" w:rsidP="009E1305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lastRenderedPageBreak/>
              <w:t>Punctual and reliable</w:t>
            </w:r>
          </w:p>
          <w:p w14:paraId="18F1F210" w14:textId="77777777" w:rsidR="002979B3" w:rsidRPr="005C0FA5" w:rsidRDefault="00CC2D69" w:rsidP="009E1305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Personal r</w:t>
            </w:r>
            <w:r w:rsidR="002979B3" w:rsidRPr="005C0FA5">
              <w:rPr>
                <w:sz w:val="24"/>
                <w:szCs w:val="24"/>
              </w:rPr>
              <w:t>esilience</w:t>
            </w:r>
            <w:r w:rsidRPr="005C0FA5">
              <w:rPr>
                <w:sz w:val="24"/>
                <w:szCs w:val="24"/>
              </w:rPr>
              <w:t xml:space="preserve"> including ability to work effectively under pressure and responding positively to change</w:t>
            </w:r>
          </w:p>
          <w:p w14:paraId="4F72BCDE" w14:textId="77777777" w:rsidR="004232E1" w:rsidRPr="005C0FA5" w:rsidRDefault="004232E1" w:rsidP="009E1305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Suitability to work with children</w:t>
            </w:r>
          </w:p>
          <w:p w14:paraId="4796CE26" w14:textId="297CFB70" w:rsidR="00314422" w:rsidRPr="005C0FA5" w:rsidRDefault="00314422" w:rsidP="009E1305">
            <w:pPr>
              <w:rPr>
                <w:sz w:val="24"/>
                <w:szCs w:val="24"/>
              </w:rPr>
            </w:pPr>
            <w:r w:rsidRPr="005C0FA5">
              <w:rPr>
                <w:sz w:val="24"/>
                <w:szCs w:val="24"/>
              </w:rPr>
              <w:t>Ability to drive between Trust sites or access to mobility support</w:t>
            </w:r>
          </w:p>
        </w:tc>
        <w:tc>
          <w:tcPr>
            <w:tcW w:w="3828" w:type="dxa"/>
          </w:tcPr>
          <w:p w14:paraId="7F6F7499" w14:textId="77777777" w:rsidR="009E1305" w:rsidRPr="007D5E83" w:rsidRDefault="009E1305" w:rsidP="009E1305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50BBB1B7" w14:textId="77777777" w:rsidR="004232E1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487D336E" w14:textId="77777777" w:rsidR="006E098B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51F7FA45" w14:textId="7E34BE80" w:rsidR="009E1305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71D907E4" w14:textId="0E92F33D" w:rsidR="004232E1" w:rsidRPr="007D5E83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062622"/>
    <w:sectPr w:rsidR="009E1305" w:rsidSect="009E1305"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64" w14:textId="77777777" w:rsidR="00DA0F85" w:rsidRDefault="00DA0F85" w:rsidP="00DA0F85">
      <w:pPr>
        <w:spacing w:after="0" w:line="240" w:lineRule="auto"/>
      </w:pPr>
      <w:r>
        <w:separator/>
      </w:r>
    </w:p>
  </w:endnote>
  <w:endnote w:type="continuationSeparator" w:id="0">
    <w:p w14:paraId="05B9898D" w14:textId="77777777" w:rsidR="00DA0F85" w:rsidRDefault="00DA0F85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23D7" w14:textId="07D0FD7A" w:rsidR="00DF441A" w:rsidRPr="00DF441A" w:rsidRDefault="008115BE">
    <w:pPr>
      <w:pStyle w:val="Footer"/>
      <w:rPr>
        <w:i/>
        <w:iCs/>
      </w:rPr>
    </w:pPr>
    <w:r>
      <w:rPr>
        <w:i/>
        <w:iCs/>
      </w:rPr>
      <w:t>March</w:t>
    </w:r>
    <w:r w:rsidR="00DF441A" w:rsidRPr="00DF441A">
      <w:rPr>
        <w:i/>
        <w:iCs/>
      </w:rPr>
      <w:t xml:space="preserve"> 202</w:t>
    </w:r>
    <w:r>
      <w:rPr>
        <w:i/>
        <w:iCs/>
      </w:rPr>
      <w:t>6</w:t>
    </w:r>
  </w:p>
  <w:p w14:paraId="4E5A6F52" w14:textId="77777777" w:rsidR="00DA0F85" w:rsidRDefault="00DA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A531" w14:textId="77777777" w:rsidR="00DA0F85" w:rsidRDefault="00DA0F85" w:rsidP="00DA0F85">
      <w:pPr>
        <w:spacing w:after="0" w:line="240" w:lineRule="auto"/>
      </w:pPr>
      <w:r>
        <w:separator/>
      </w:r>
    </w:p>
  </w:footnote>
  <w:footnote w:type="continuationSeparator" w:id="0">
    <w:p w14:paraId="2574E037" w14:textId="77777777" w:rsidR="00DA0F85" w:rsidRDefault="00DA0F85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84F0" w14:textId="75BF8657" w:rsidR="00A94833" w:rsidRPr="00A94833" w:rsidRDefault="00A94833" w:rsidP="00A94833">
    <w:pPr>
      <w:pStyle w:val="Header"/>
    </w:pPr>
    <w:r w:rsidRPr="00A94833">
      <w:rPr>
        <w:noProof/>
      </w:rPr>
      <w:drawing>
        <wp:anchor distT="0" distB="0" distL="114300" distR="114300" simplePos="0" relativeHeight="251659264" behindDoc="1" locked="0" layoutInCell="1" allowOverlap="1" wp14:anchorId="1CE5FA50" wp14:editId="3A400DEE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4326890" cy="4403090"/>
          <wp:effectExtent l="0" t="0" r="0" b="0"/>
          <wp:wrapNone/>
          <wp:docPr id="405247788" name="Picture 2" descr="A group of circles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oup of circles with different colo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6890" cy="440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4833">
      <w:t> </w:t>
    </w:r>
  </w:p>
  <w:p w14:paraId="407E7E74" w14:textId="77777777" w:rsidR="00A94833" w:rsidRDefault="00A94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E6E59"/>
    <w:multiLevelType w:val="hybridMultilevel"/>
    <w:tmpl w:val="40846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9370833">
    <w:abstractNumId w:val="11"/>
  </w:num>
  <w:num w:numId="2" w16cid:durableId="809442484">
    <w:abstractNumId w:val="16"/>
  </w:num>
  <w:num w:numId="3" w16cid:durableId="1668898398">
    <w:abstractNumId w:val="12"/>
  </w:num>
  <w:num w:numId="4" w16cid:durableId="125271740">
    <w:abstractNumId w:val="1"/>
  </w:num>
  <w:num w:numId="5" w16cid:durableId="191840658">
    <w:abstractNumId w:val="7"/>
  </w:num>
  <w:num w:numId="6" w16cid:durableId="367338902">
    <w:abstractNumId w:val="14"/>
  </w:num>
  <w:num w:numId="7" w16cid:durableId="855000093">
    <w:abstractNumId w:val="9"/>
  </w:num>
  <w:num w:numId="8" w16cid:durableId="1760903276">
    <w:abstractNumId w:val="5"/>
  </w:num>
  <w:num w:numId="9" w16cid:durableId="1505515431">
    <w:abstractNumId w:val="6"/>
  </w:num>
  <w:num w:numId="10" w16cid:durableId="540286883">
    <w:abstractNumId w:val="10"/>
  </w:num>
  <w:num w:numId="11" w16cid:durableId="186136292">
    <w:abstractNumId w:val="15"/>
  </w:num>
  <w:num w:numId="12" w16cid:durableId="341857871">
    <w:abstractNumId w:val="3"/>
  </w:num>
  <w:num w:numId="13" w16cid:durableId="1696955740">
    <w:abstractNumId w:val="2"/>
  </w:num>
  <w:num w:numId="14" w16cid:durableId="1359694664">
    <w:abstractNumId w:val="13"/>
  </w:num>
  <w:num w:numId="15" w16cid:durableId="1046487106">
    <w:abstractNumId w:val="4"/>
  </w:num>
  <w:num w:numId="16" w16cid:durableId="1187447119">
    <w:abstractNumId w:val="0"/>
  </w:num>
  <w:num w:numId="17" w16cid:durableId="1276525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015CC"/>
    <w:rsid w:val="00051FDE"/>
    <w:rsid w:val="000601D8"/>
    <w:rsid w:val="00062622"/>
    <w:rsid w:val="00086485"/>
    <w:rsid w:val="00164498"/>
    <w:rsid w:val="00177BF4"/>
    <w:rsid w:val="001D1A41"/>
    <w:rsid w:val="00203B3C"/>
    <w:rsid w:val="00244C15"/>
    <w:rsid w:val="002466BC"/>
    <w:rsid w:val="002979B3"/>
    <w:rsid w:val="00314422"/>
    <w:rsid w:val="003376DB"/>
    <w:rsid w:val="003561CF"/>
    <w:rsid w:val="00404590"/>
    <w:rsid w:val="0041643D"/>
    <w:rsid w:val="00416C24"/>
    <w:rsid w:val="004232E1"/>
    <w:rsid w:val="004753AF"/>
    <w:rsid w:val="00496E5F"/>
    <w:rsid w:val="004D1B0B"/>
    <w:rsid w:val="005C0FA5"/>
    <w:rsid w:val="005D5027"/>
    <w:rsid w:val="00607428"/>
    <w:rsid w:val="006C14F8"/>
    <w:rsid w:val="006D2B00"/>
    <w:rsid w:val="006E098B"/>
    <w:rsid w:val="00736C7B"/>
    <w:rsid w:val="007D5E83"/>
    <w:rsid w:val="00806B2E"/>
    <w:rsid w:val="008115BE"/>
    <w:rsid w:val="008474FB"/>
    <w:rsid w:val="00876C92"/>
    <w:rsid w:val="008C3614"/>
    <w:rsid w:val="008F3FF3"/>
    <w:rsid w:val="009303F5"/>
    <w:rsid w:val="009E1305"/>
    <w:rsid w:val="00A165C5"/>
    <w:rsid w:val="00A72471"/>
    <w:rsid w:val="00A94833"/>
    <w:rsid w:val="00AE4409"/>
    <w:rsid w:val="00B51498"/>
    <w:rsid w:val="00CC2D69"/>
    <w:rsid w:val="00CC7A85"/>
    <w:rsid w:val="00CC7B0E"/>
    <w:rsid w:val="00DA0F85"/>
    <w:rsid w:val="00DF441A"/>
    <w:rsid w:val="00E12DC0"/>
    <w:rsid w:val="00E55F80"/>
    <w:rsid w:val="00ED49FA"/>
    <w:rsid w:val="00EF6F3F"/>
    <w:rsid w:val="00F649BF"/>
    <w:rsid w:val="00F76EAA"/>
    <w:rsid w:val="00FA77C2"/>
    <w:rsid w:val="00FB42B5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6613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Jessica Reddish</cp:lastModifiedBy>
  <cp:revision>2</cp:revision>
  <cp:lastPrinted>2026-03-09T09:25:00Z</cp:lastPrinted>
  <dcterms:created xsi:type="dcterms:W3CDTF">2026-03-11T11:47:00Z</dcterms:created>
  <dcterms:modified xsi:type="dcterms:W3CDTF">2026-03-11T11:47:00Z</dcterms:modified>
</cp:coreProperties>
</file>