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color w:val="000000"/>
        </w:rPr>
      </w:pPr>
      <w:r w:rsidDel="00000000" w:rsidR="00000000" w:rsidRPr="00000000">
        <w:rPr>
          <w:rtl w:val="0"/>
        </w:rPr>
        <w:tab/>
      </w:r>
      <w:r w:rsidDel="00000000" w:rsidR="00000000" w:rsidRPr="00000000">
        <w:rPr>
          <w:rtl w:val="0"/>
        </w:rPr>
      </w:r>
    </w:p>
    <w:p w:rsidR="00000000" w:rsidDel="00000000" w:rsidP="00000000" w:rsidRDefault="00000000" w:rsidRPr="00000000" w14:paraId="00000002">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3">
      <w:pPr>
        <w:jc w:val="center"/>
        <w:rPr>
          <w:b w:val="1"/>
          <w:bCs w:val="1"/>
          <w:color w:val="000000"/>
        </w:rPr>
      </w:pPr>
      <w:r w:rsidDel="00000000" w:rsidR="00000000" w:rsidRPr="00000000">
        <w:rPr>
          <w:b w:val="1"/>
          <w:bCs w:val="1"/>
          <w:color w:val="000000"/>
          <w:rtl w:val="0"/>
        </w:rPr>
        <w:t xml:space="preserve">JOB DESCRIPTION</w:t>
      </w:r>
    </w:p>
    <w:p w:rsidR="00000000" w:rsidDel="00000000" w:rsidP="00000000" w:rsidRDefault="00000000" w:rsidRPr="00000000" w14:paraId="00000004">
      <w:pPr>
        <w:jc w:val="center"/>
        <w:rPr>
          <w:b w:val="1"/>
          <w:bCs w:val="1"/>
          <w:color w:val="000000"/>
        </w:rPr>
      </w:pPr>
      <w:r w:rsidDel="00000000" w:rsidR="00000000" w:rsidRPr="00000000">
        <w:rPr>
          <w:rtl w:val="0"/>
        </w:rPr>
      </w:r>
    </w:p>
    <w:p w:rsidR="00000000" w:rsidDel="00000000" w:rsidP="00000000" w:rsidRDefault="00000000" w:rsidRPr="00000000" w14:paraId="00000005">
      <w:pPr>
        <w:rPr>
          <w:b w:val="1"/>
          <w:bCs w:val="1"/>
          <w:color w:val="000000"/>
        </w:rPr>
      </w:pPr>
      <w:r w:rsidDel="00000000" w:rsidR="00000000" w:rsidRPr="00000000">
        <w:rPr>
          <w:b w:val="1"/>
          <w:bCs w:val="1"/>
          <w:color w:val="000000"/>
          <w:rtl w:val="0"/>
        </w:rPr>
        <w:t xml:space="preserve">JOB DETAILS</w:t>
      </w:r>
    </w:p>
    <w:p w:rsidR="00000000" w:rsidDel="00000000" w:rsidP="00000000" w:rsidRDefault="00000000" w:rsidRPr="00000000" w14:paraId="00000006">
      <w:pPr>
        <w:rPr>
          <w:b w:val="1"/>
          <w:bCs w:val="1"/>
          <w:color w:val="00000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Job Title:   </w:t>
        <w:tab/>
      </w:r>
      <w:r w:rsidDel="00000000" w:rsidR="00000000" w:rsidRPr="00000000">
        <w:rPr>
          <w:b w:val="1"/>
          <w:bCs w:val="1"/>
          <w:rtl w:val="0"/>
        </w:rPr>
        <w:t xml:space="preserve">Assistant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Head</w:t>
      </w:r>
      <w:r w:rsidDel="00000000" w:rsidR="00000000" w:rsidRPr="00000000">
        <w:rPr>
          <w:b w:val="1"/>
          <w:bCs w:val="1"/>
          <w:rtl w:val="0"/>
        </w:rPr>
        <w:t xml:space="preserve">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eacher </w:t>
      </w:r>
      <w:r w:rsidDel="00000000" w:rsidR="00000000" w:rsidRPr="00000000">
        <w:rPr>
          <w:b w:val="1"/>
          <w:bCs w:val="1"/>
          <w:rtl w:val="0"/>
        </w:rPr>
        <w:t xml:space="preserve">(Personal Development &amp; Belonging)</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 </w:t>
      </w:r>
      <w:r w:rsidDel="00000000" w:rsidR="00000000" w:rsidRPr="00000000">
        <w:rPr>
          <w:b w:val="1"/>
          <w:bCs w:val="1"/>
          <w:rtl w:val="0"/>
        </w:rPr>
        <w:t xml:space="preserve">Walker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Riverside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Academy</w:t>
      </w:r>
    </w:p>
    <w:p w:rsidR="00000000" w:rsidDel="00000000" w:rsidP="00000000" w:rsidRDefault="00000000" w:rsidRPr="00000000" w14:paraId="00000009">
      <w:pPr>
        <w:rPr>
          <w:b w:val="1"/>
          <w:bCs w:val="1"/>
          <w:color w:val="000000"/>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color w:val="000000"/>
          <w:rtl w:val="0"/>
        </w:rPr>
        <w:t xml:space="preserve">Pay Scale:</w:t>
      </w:r>
      <w:r w:rsidDel="00000000" w:rsidR="00000000" w:rsidRPr="00000000">
        <w:rPr>
          <w:b w:val="1"/>
          <w:bCs w:val="1"/>
          <w:sz w:val="22"/>
          <w:szCs w:val="22"/>
          <w:rtl w:val="0"/>
        </w:rPr>
        <w:t xml:space="preserve"> </w:t>
        <w:tab/>
      </w:r>
      <w:r w:rsidDel="00000000" w:rsidR="00000000" w:rsidRPr="00000000">
        <w:rPr>
          <w:b w:val="1"/>
          <w:bCs w:val="1"/>
          <w:rtl w:val="0"/>
        </w:rPr>
        <w:t xml:space="preserve">L12 – L16</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job description may be amended at any appropriate time following consultation between the Assistant Head Teacher and the Headteacher. It will be reviewed annually and performance management objectives agreed. </w:t>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rPr>
          <w:b w:val="1"/>
          <w:bCs w:val="1"/>
          <w:color w:val="000000"/>
        </w:rPr>
      </w:pPr>
      <w:r w:rsidDel="00000000" w:rsidR="00000000" w:rsidRPr="00000000">
        <w:rPr>
          <w:b w:val="1"/>
          <w:bCs w:val="1"/>
          <w:color w:val="000000"/>
          <w:rtl w:val="0"/>
        </w:rPr>
        <w:t xml:space="preserve">JOB PURPOSE</w:t>
      </w:r>
    </w:p>
    <w:p w:rsidR="00000000" w:rsidDel="00000000" w:rsidP="00000000" w:rsidRDefault="00000000" w:rsidRPr="00000000" w14:paraId="0000000F">
      <w:pPr>
        <w:rPr>
          <w:b w:val="1"/>
          <w:bCs w:val="1"/>
          <w:color w:val="00000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support the Head Teacher and Senior Leadership Team in providing professional strategic leadership of the academy, promoting the vision to build success and provide high quality education.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To support the Head Teacher in establishing and sustaining the academy’s ethos and strategic direction in partnership with the strategic leadership team of the trust, Local Governing Body, Academy Trust and in consultation with the school community.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Work with the Head Teacher and the Senior Leadership Team to develop and ensure the effective implementation and evaluation of clear evidence informed improvement plans and policies for the academy which are realistic, timely, appropriately sequenced and suited to the context of the academy and lead to sustained school improvement over time.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Work with the Head Teacher and the Senior Leadership Team to provide a safe, calm and well-ordered environment for all students and staff, focussed on safeguarding students welfare and developing good behaviour in the academy and in wider society.</w:t>
      </w:r>
    </w:p>
    <w:p w:rsidR="00000000" w:rsidDel="00000000" w:rsidP="00000000" w:rsidRDefault="00000000" w:rsidRPr="00000000" w14:paraId="00000017">
      <w:pPr>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spacing w:after="20" w:before="20" w:lineRule="auto"/>
        <w:rPr/>
      </w:pPr>
      <w:r w:rsidDel="00000000" w:rsidR="00000000" w:rsidRPr="00000000">
        <w:rPr>
          <w:highlight w:val="white"/>
          <w:rtl w:val="0"/>
        </w:rPr>
        <w:t xml:space="preserve">To take strategic responsibility for the personal development and wellbeing strand of the Ofsted framework.</w:t>
      </w: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b w:val="1"/>
          <w:bCs w:val="1"/>
          <w:color w:val="000000"/>
        </w:rPr>
      </w:pPr>
      <w:r w:rsidDel="00000000" w:rsidR="00000000" w:rsidRPr="00000000">
        <w:rPr>
          <w:b w:val="1"/>
          <w:bCs w:val="1"/>
          <w:color w:val="000000"/>
          <w:rtl w:val="0"/>
        </w:rPr>
        <w:t xml:space="preserve">KEY RESULT AREAS</w:t>
      </w:r>
    </w:p>
    <w:p w:rsidR="00000000" w:rsidDel="00000000" w:rsidP="00000000" w:rsidRDefault="00000000" w:rsidRPr="00000000" w14:paraId="0000001B">
      <w:pPr>
        <w:rPr>
          <w:b w:val="1"/>
          <w:bCs w:val="1"/>
          <w:color w:val="00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Work with the Head Teacher to share, communicate and contribute to the academy’s vision, mission and values and develop the academy’s offer to drive the culture and performance to achieve excellence.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 with the Head Teacher to ensure systematic and rigorous self-evaluation of the work of the academy, collecting and using accurate data to understand its strengths and weaknesses.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Strategic oversig</w:t>
      </w:r>
      <w:r w:rsidDel="00000000" w:rsidR="00000000" w:rsidRPr="00000000">
        <w:rPr>
          <w:rtl w:val="0"/>
        </w:rPr>
        <w:t xml:space="preserve">ht and leadership and development of the form tutor, assembly, personal development, belonging, SMSC, PSHE, RSE, wellbeing and careers/work experience provision ensuring the successful delivery of the academy vision for personal development, enrichment and welling in line with the latest Ofsted framework.</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Leadership, day-to-day management and promotion of personal development, belonging and wellbeing within the Academy.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Support the design, delivery and quality assurance of the personal development, RSHE and cultural development curricula.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Line management of personal development and careers staffing.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Line management of subject areas as directed by the Headteacher or Deputy Headteacher for Quality of Education.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Oversee the work of the Culture Team including the Hope Ambassadors.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 Oversee and report on the academy Pupil Premium plan.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Plan and quality assure the registration programme.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11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Ensure Academy policies relating to areas of personal development and belonging are followed by all staff and that all staff are held accountable for their implementation and success.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Analyse and share data relevant to the post and prepare reports based on this data for the Headteacher, SLT, Local Governing Body and central trust team and board/committees.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 Disseminate leading practice relating to the teaching of personal development and wellbeing.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 Ensure the mapping of SRE and SMSC across the curriculum to ensure the Academy is fully compliant.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 Quality assurance of teaching and learning of the personal development curriculum.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 Promote amongst students both an individual and shared responsibility for personal development and wellbeing.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 Implement strategies to ensure the academy is responsive to local and national need for personal development education.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 Have a strategic overview and contribute to the planning of the Academy assembly programme enhancing students’ moral, social and cultural learning.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19. Ensure all students can recognise risks to their own safety and wellbeing and have the strategies and resilience to seek support as necessary.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 Ensure effective access and take up of enrichment and extra-curricular activities.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Contribute to strategies, plans and opportunities across Tyne Coast Academy Trust.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 with the Head Teacher to distribute leadership throughout the school, including leading the wider leadership team, and holding colleagues to account for their decision making whilst securing rapid improvement in all areas of the </w:t>
      </w:r>
      <w:r w:rsidDel="00000000" w:rsidR="00000000" w:rsidRPr="00000000">
        <w:rPr>
          <w:rtl w:val="0"/>
        </w:rPr>
        <w:t xml:space="preserve">academy.</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Provide leadership which will inspire, motivate, challenge and support all staff employed by the school ensuring a culture of high staff professionalism</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Create strong relationships with feeder and local schools. Form a seamless transition offer leading to strong progress as soon as children join the academy.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Work in association with the wider leadership team, trust leaders and governors to build and sustain constructive relationships beyond the academy working in partnership with parents, carers and the local community.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the protection and safety of all students and staff through effective approaches to safeguarding and promoting the welfare of all children.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 compliance with academy requirements, policies, systems and procedures throughout the academy, ensuring that accurate and up-to-date records and documentation are kept and held and available for internal and external audit, review and to inform report writing.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carry out additional responsibilities as requested by the Head Teacher and/or senior trust staff. </w:t>
      </w:r>
    </w:p>
    <w:p w:rsidR="00000000" w:rsidDel="00000000" w:rsidP="00000000" w:rsidRDefault="00000000" w:rsidRPr="00000000" w14:paraId="00000055">
      <w:pPr>
        <w:rPr>
          <w:b w:val="1"/>
          <w:bCs w:val="1"/>
          <w:color w:val="ff0000"/>
        </w:rPr>
      </w:pPr>
      <w:r w:rsidDel="00000000" w:rsidR="00000000" w:rsidRPr="00000000">
        <w:rPr>
          <w:rtl w:val="0"/>
        </w:rPr>
      </w:r>
    </w:p>
    <w:p w:rsidR="00000000" w:rsidDel="00000000" w:rsidP="00000000" w:rsidRDefault="00000000" w:rsidRPr="00000000" w14:paraId="00000056">
      <w:pPr>
        <w:ind w:left="720" w:hanging="720"/>
        <w:rPr>
          <w:b w:val="1"/>
          <w:bCs w:val="1"/>
        </w:rPr>
      </w:pPr>
      <w:r w:rsidDel="00000000" w:rsidR="00000000" w:rsidRPr="00000000">
        <w:rPr>
          <w:b w:val="1"/>
          <w:bCs w:val="1"/>
          <w:rtl w:val="0"/>
        </w:rPr>
        <w:t xml:space="preserve">VARIATION IN THE ROLE</w:t>
      </w:r>
    </w:p>
    <w:p w:rsidR="00000000" w:rsidDel="00000000" w:rsidP="00000000" w:rsidRDefault="00000000" w:rsidRPr="00000000" w14:paraId="00000057">
      <w:pPr>
        <w:ind w:left="720" w:hanging="720"/>
        <w:rPr>
          <w:b w:val="1"/>
          <w:bCs w:val="1"/>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Given the dynamic nature of the role and structure of Walker Riverside Academy and Tyne Coast Academy Trust, it must be accepted that, as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member of staff.</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EQUALITY AND DIVERSITY</w:t>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Tyne Coast Academy Trust is committed to equality and diversity for all members of society.  The trust will take action to discharge this responsibility but many of the actions will rely on individual staff members at the academy embracing their responsibilities with such a commitment and ensuring a positive and collaborative approach to Equality and Diversity.  This will require staff to support the academy trust’s initiatives on Equality and Diversity which will include embracing development and training designed to enhance practices and the experiences of staff, students and visitors to the trust with an all inclusive approach that celebrates differences.  Failure to embrace these commitments may lead to formal action.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If you as a member of staff identify how you or the academy trust can improve its practice on Equality and Diversity, please contact the Chief Operating Officer.</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HEALTH AND SAFETY</w:t>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All members of staff have a duty to maintain safe and clean conditions in their work area and co-operate with the academy trust on matters of Health and Safety.  This will include assisting with undertaking risk assessments and carrying out appropriate actions as required.  Staff are required to refer to the academy and safety policies in respect to their specific duties and responsibilities.</w:t>
      </w:r>
    </w:p>
    <w:p w:rsidR="00000000" w:rsidDel="00000000" w:rsidP="00000000" w:rsidRDefault="00000000" w:rsidRPr="00000000" w14:paraId="00000063">
      <w:pPr>
        <w:rPr>
          <w:color w:val="ff0000"/>
        </w:rPr>
      </w:pPr>
      <w:r w:rsidDel="00000000" w:rsidR="00000000" w:rsidRPr="00000000">
        <w:rPr>
          <w:rtl w:val="0"/>
        </w:rPr>
      </w:r>
    </w:p>
    <w:p w:rsidR="00000000" w:rsidDel="00000000" w:rsidP="00000000" w:rsidRDefault="00000000" w:rsidRPr="00000000" w14:paraId="00000064">
      <w:pPr>
        <w:rPr>
          <w:b w:val="1"/>
          <w:bCs w:val="1"/>
        </w:rPr>
      </w:pPr>
      <w:r w:rsidDel="00000000" w:rsidR="00000000" w:rsidRPr="00000000">
        <w:rPr>
          <w:b w:val="1"/>
          <w:bCs w:val="1"/>
          <w:rtl w:val="0"/>
        </w:rPr>
        <w:t xml:space="preserve">LEARNING &amp; DEVELOPMENT</w:t>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All staff are required to participate fully in the academy trust Learning &amp; Development programmes and have a responsibility to identify their own professional development needs in conjunction with their line manager.  </w:t>
      </w:r>
    </w:p>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COMMITMENT TO SAFEGUARDING VULNERABLE GROUPS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240" w:before="120" w:line="240"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academy trust is committed to safeguarding and the prevent duty.  Ensuring safeguarding arrangements to protect children, young people and vulnerable groups meet all statutory and other government requirements, promote their welfare and prevent radicalisation and extremism.  The academy trust expects all staff and volunteers to share this commitment.  </w:t>
      </w:r>
      <w:r w:rsidDel="00000000" w:rsidR="00000000" w:rsidRPr="00000000">
        <w:rPr>
          <w:rtl w:val="0"/>
        </w:rPr>
      </w:r>
    </w:p>
    <w:sectPr>
      <w:headerReference r:id="rId6" w:type="default"/>
      <w:footerReference r:id="rId7" w:type="default"/>
      <w:pgSz w:h="16838" w:w="11906" w:orient="portrait"/>
      <w:pgMar w:bottom="576" w:top="1440" w:left="144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87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t xml:space="preserve">April 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10210800</wp:posOffset>
              </wp:positionV>
              <wp:extent cx="7569835" cy="282575"/>
              <wp:effectExtent b="0" l="0" r="0" t="0"/>
              <wp:wrapNone/>
              <wp:docPr descr="{&quot;HashCode&quot;:-886690355,&quot;Height&quot;:841.0,&quot;Width&quot;:595.0,&quot;Placement&quot;:&quot;Footer&quot;,&quot;Index&quot;:&quot;Primary&quot;,&quot;Section&quot;:1,&quot;Top&quot;:0.0,&quot;Left&quot;:0.0}" id="1"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ff8c00"/>
                              <w:sz w:val="20"/>
                              <w:vertAlign w:val="baseline"/>
                            </w:rPr>
                            <w:t xml:space="preserve">CLASSIFICATION: 3 - Confidential</w:t>
                          </w:r>
                        </w:p>
                      </w:txbxContent>
                    </wps:txbx>
                    <wps:bodyPr anchorCtr="0" anchor="b"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10210800</wp:posOffset>
              </wp:positionV>
              <wp:extent cx="7569835" cy="282575"/>
              <wp:effectExtent b="0" l="0" r="0" t="0"/>
              <wp:wrapNone/>
              <wp:docPr descr="{&quot;HashCode&quot;:-886690355,&quot;Height&quot;:841.0,&quot;Width&quot;:595.0,&quot;Placement&quot;:&quot;Footer&quot;,&quot;Index&quot;:&quot;Primary&quot;,&quot;Section&quot;:1,&quot;Top&quot;:0.0,&quot;Left&quot;:0.0}" id="1" name="image3.png"/>
              <a:graphic>
                <a:graphicData uri="http://schemas.openxmlformats.org/drawingml/2006/picture">
                  <pic:pic>
                    <pic:nvPicPr>
                      <pic:cNvPr descr="{&quot;HashCode&quot;:-886690355,&quot;Height&quot;:841.0,&quot;Width&quot;:595.0,&quot;Placement&quot;:&quot;Footer&quot;,&quot;Index&quot;:&quot;Primary&quot;,&quot;Section&quot;:1,&quot;Top&quot;:0.0,&quot;Left&quot;:0.0}" id="0" name="image3.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drawing>
        <wp:inline distB="0" distT="0" distL="114300" distR="114300">
          <wp:extent cx="642938" cy="434417"/>
          <wp:effectExtent b="0" l="0" r="0" t="0"/>
          <wp:docPr id="4" name="image2.png"/>
          <a:graphic>
            <a:graphicData uri="http://schemas.openxmlformats.org/drawingml/2006/picture">
              <pic:pic>
                <pic:nvPicPr>
                  <pic:cNvPr id="0" name="image2.png"/>
                  <pic:cNvPicPr preferRelativeResize="0"/>
                </pic:nvPicPr>
                <pic:blipFill>
                  <a:blip r:embed="rId1"/>
                  <a:srcRect b="15669" l="12764" r="12061" t="12639"/>
                  <a:stretch>
                    <a:fillRect/>
                  </a:stretch>
                </pic:blipFill>
                <pic:spPr>
                  <a:xfrm>
                    <a:off x="0" y="0"/>
                    <a:ext cx="642938" cy="434417"/>
                  </a:xfrm>
                  <a:prstGeom prst="rect"/>
                  <a:ln/>
                </pic:spPr>
              </pic:pic>
            </a:graphicData>
          </a:graphic>
        </wp:inline>
      </w:drawing>
    </w:r>
    <w:r w:rsidDel="00000000" w:rsidR="00000000" w:rsidRPr="00000000">
      <w:rPr>
        <w:rFonts w:ascii="Calibri" w:cs="Calibri" w:eastAsia="Calibri" w:hAnsi="Calibri"/>
        <w:sz w:val="22"/>
        <w:szCs w:val="22"/>
        <w:rtl w:val="0"/>
      </w:rPr>
      <w:tab/>
      <w:tab/>
    </w:r>
    <w:r w:rsidDel="00000000" w:rsidR="00000000" w:rsidRPr="00000000">
      <w:rPr>
        <w:rFonts w:ascii="Calibri" w:cs="Calibri" w:eastAsia="Calibri" w:hAnsi="Calibri"/>
        <w:sz w:val="22"/>
        <w:szCs w:val="22"/>
      </w:rPr>
      <w:drawing>
        <wp:inline distB="0" distT="0" distL="0" distR="0">
          <wp:extent cx="686327" cy="470853"/>
          <wp:effectExtent b="0" l="0" r="0" t="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86327" cy="470853"/>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94805"/>
              <wp:effectExtent b="0" l="0" r="0" t="0"/>
              <wp:wrapNone/>
              <wp:docPr descr="{&quot;HashCode&quot;:-1894573951,&quot;Height&quot;:841.0,&quot;Width&quot;:595.0,&quot;Placement&quot;:&quot;Header&quot;,&quot;Index&quot;:&quot;Primary&quot;,&quot;Section&quot;:1,&quot;Top&quot;:0.0,&quot;Left&quot;:0.0}" id="2" name=""/>
              <a:graphic>
                <a:graphicData uri="http://schemas.microsoft.com/office/word/2010/wordprocessingShape">
                  <wps:wsp>
                    <wps:cNvSpPr/>
                    <wps:cNvPr id="3" name="Shape 3"/>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94805"/>
              <wp:effectExtent b="0" l="0" r="0" t="0"/>
              <wp:wrapNone/>
              <wp:docPr descr="{&quot;HashCode&quot;:-1894573951,&quot;Height&quot;:841.0,&quot;Width&quot;:595.0,&quot;Placement&quot;:&quot;Header&quot;,&quot;Index&quot;:&quot;Primary&quot;,&quot;Section&quot;:1,&quot;Top&quot;:0.0,&quot;Left&quot;:0.0}" id="2" name="image4.png"/>
              <a:graphic>
                <a:graphicData uri="http://schemas.openxmlformats.org/drawingml/2006/picture">
                  <pic:pic>
                    <pic:nvPicPr>
                      <pic:cNvPr descr="{&quot;HashCode&quot;:-1894573951,&quot;Height&quot;:841.0,&quot;Width&quot;:595.0,&quot;Placement&quot;:&quot;Header&quot;,&quot;Index&quot;:&quot;Primary&quot;,&quot;Section&quot;:1,&quot;Top&quot;:0.0,&quot;Left&quot;:0.0}" id="0" name="image4.png"/>
                      <pic:cNvPicPr preferRelativeResize="0"/>
                    </pic:nvPicPr>
                    <pic:blipFill>
                      <a:blip r:embed="rId3"/>
                      <a:srcRect/>
                      <a:stretch>
                        <a:fillRect/>
                      </a:stretch>
                    </pic:blipFill>
                    <pic:spPr>
                      <a:xfrm>
                        <a:off x="0" y="0"/>
                        <a:ext cx="7569835" cy="29480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893e6d94-dfc3-4b4f-9000-f1e1c1661ac6_Name">
    <vt:lpwstr>3 -  Confidential</vt:lpwstr>
  </property>
  <property fmtid="{D5CDD505-2E9C-101B-9397-08002B2CF9AE}" pid="3" name="MSIP_Label_893e6d94-dfc3-4b4f-9000-f1e1c1661ac6_Application">
    <vt:lpwstr>Microsoft Azure Information Protection</vt:lpwstr>
  </property>
  <property fmtid="{D5CDD505-2E9C-101B-9397-08002B2CF9AE}" pid="4" name="Sensitivity">
    <vt:lpwstr>3 -  Confidential</vt:lpwstr>
  </property>
  <property fmtid="{D5CDD505-2E9C-101B-9397-08002B2CF9AE}" pid="5" name="ContentType">
    <vt:lpwstr>Document</vt:lpwstr>
  </property>
  <property fmtid="{D5CDD505-2E9C-101B-9397-08002B2CF9AE}" pid="6" name="MSIP_Label_893e6d94-dfc3-4b4f-9000-f1e1c1661ac6_Owner">
    <vt:lpwstr>kryans@stc.ac.uk</vt:lpwstr>
  </property>
  <property fmtid="{D5CDD505-2E9C-101B-9397-08002B2CF9AE}" pid="7" name="MSIP_Label_893e6d94-dfc3-4b4f-9000-f1e1c1661ac6_Extended_MSFT_Method">
    <vt:lpwstr>Manual</vt:lpwstr>
  </property>
  <property fmtid="{D5CDD505-2E9C-101B-9397-08002B2CF9AE}" pid="8" name="ContentTypeId">
    <vt:lpwstr>0x0101002471CEA38139AC46B59F9A153ABDFC34</vt:lpwstr>
  </property>
  <property fmtid="{D5CDD505-2E9C-101B-9397-08002B2CF9AE}" pid="9" name="MSIP_Label_893e6d94-dfc3-4b4f-9000-f1e1c1661ac6_SetDate">
    <vt:lpwstr>2018-08-30T10:20:56.5878620Z</vt:lpwstr>
  </property>
  <property fmtid="{D5CDD505-2E9C-101B-9397-08002B2CF9AE}" pid="10" name="_dlc_DocIdItemGuid">
    <vt:lpwstr>c9a16084-ce97-418c-9ffb-83b3dde515e8</vt:lpwstr>
  </property>
  <property fmtid="{D5CDD505-2E9C-101B-9397-08002B2CF9AE}" pid="11" name="MSIP_Label_893e6d94-dfc3-4b4f-9000-f1e1c1661ac6_SiteId">
    <vt:lpwstr>a3007599-59be-4aa8-a207-65a9a7d7193b</vt:lpwstr>
  </property>
  <property fmtid="{D5CDD505-2E9C-101B-9397-08002B2CF9AE}" pid="12" name="MSIP_Label_893e6d94-dfc3-4b4f-9000-f1e1c1661ac6_Enabled">
    <vt:lpwstr>True</vt:lpwstr>
  </property>
  <property fmtid="{D5CDD505-2E9C-101B-9397-08002B2CF9AE}" pid="13" name="TaxKeyword">
    <vt:lpwstr>TaxKeyword</vt:lpwstr>
  </property>
</Properties>
</file>