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Job Description: Playworker </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Reporting to: Breakfast and Afterschool Club Manager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Main purpose and duties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Playworker will: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Support with planning, day-to-day organisation, and operation of the club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high quality play opportunities and care for children in an inclusive environment, and in accordance with the school’s ethos and procedures.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pupils’ independence, self-esteem, and social inclusion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with the provision of care and creative play opportunities in consultation with children, and in accordance with Playwork Principles and relevant childcare legislation. </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the playleader in ensuring that children’s individual needs are recognised and engaging them in establishing and maintaining boundaries for their behaviour. </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with the handover/collection of children to/from other areas of the school, where applicable, and ensure their safe handover to parents/carers at the end of the day. </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support the playleader in ensuring that the club is a safe environment for all, that equipment is well-maintained, standards of hygiene are high, safety procedures are implemented and risk assessments, fire drills/evacuation procedures are carried out effectively. This also applies to trips and other off-site activities. </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prepare food and drink that promotes healthy eating and complies with current school food guidelines and food safety legislation.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assist with day-to-day administration and record keeping.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work as part of the whole school team, liaise with relevant staff, and contribute to the promotion of the club.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administer first aid and medication as appropriate.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participate in playwork and other relevant training and development activities, including local networking opportunities for out-of-school childcare providers. </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maintain constructive relationships and communicate with parents/carers, other professionals, and childcare/play-related agencies including the county council’s Community Childcare and Play staff. </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work within agreed policies and procedures, and undertake other duties, appropriate to the grade, as may reasonably be required by the playleader or headteacher.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Health and safety </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Promote the safety and wellbeing of pupils, and help to safeguard pupils’ well-being by following the requirements of Keeping Children Safe in Education and our school’s child protection policy </w:t>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Follow our school policy for ‘supporting pupils with medical conditions’ so that they have access to the same opportunities as others </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Look after children who are upset or have had accidents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Professional development </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Help keep their own knowledge and understanding relevant and up to date by reflecting on their own practice </w:t>
      </w:r>
    </w:p>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opportunities to build the appropriate skills, qualifications, and/or experience needed for the role, with support from the school </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Take part in the school’s appraisal procedures </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Attend meetings and training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Personal and professional conduct </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Uphold public trust in the education profession and maintain high standards of ethics and behaviour, within and outside school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Have proper and professional regard for the ethos, policies, and practices of the school, and maintain high standards of attendance and punctuality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2"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 positive attitudes, values and behaviours to develop and sustain effective relationships with the school community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Respect individual differences and cultural diversity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Oxfordshire Schools are committed to safeguarding and promoting the welfare of children and young people and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cases are considered confidentially and according to the nature of the role and information disclosed.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9">
      <w:pPr>
        <w:rPr>
          <w:sz w:val="23"/>
          <w:szCs w:val="23"/>
        </w:rPr>
      </w:pPr>
      <w:r w:rsidDel="00000000" w:rsidR="00000000" w:rsidRPr="00000000">
        <w:rPr>
          <w:rtl w:val="0"/>
        </w:rPr>
      </w:r>
    </w:p>
    <w:p w:rsidR="00000000" w:rsidDel="00000000" w:rsidP="00000000" w:rsidRDefault="00000000" w:rsidRPr="00000000" w14:paraId="0000002A">
      <w:pPr>
        <w:rPr>
          <w:sz w:val="23"/>
          <w:szCs w:val="23"/>
        </w:rPr>
      </w:pPr>
      <w:r w:rsidDel="00000000" w:rsidR="00000000" w:rsidRPr="00000000">
        <w:rPr>
          <w:rtl w:val="0"/>
        </w:rPr>
      </w:r>
    </w:p>
    <w:p w:rsidR="00000000" w:rsidDel="00000000" w:rsidP="00000000" w:rsidRDefault="00000000" w:rsidRPr="00000000" w14:paraId="0000002B">
      <w:pPr>
        <w:rPr>
          <w:sz w:val="23"/>
          <w:szCs w:val="23"/>
        </w:rPr>
      </w:pPr>
      <w:r w:rsidDel="00000000" w:rsidR="00000000" w:rsidRPr="00000000">
        <w:rPr>
          <w:rtl w:val="0"/>
        </w:rPr>
      </w:r>
    </w:p>
    <w:p w:rsidR="00000000" w:rsidDel="00000000" w:rsidP="00000000" w:rsidRDefault="00000000" w:rsidRPr="00000000" w14:paraId="0000002C">
      <w:pPr>
        <w:rPr>
          <w:sz w:val="23"/>
          <w:szCs w:val="23"/>
        </w:rPr>
      </w:pPr>
      <w:r w:rsidDel="00000000" w:rsidR="00000000" w:rsidRPr="00000000">
        <w:rPr>
          <w:rtl w:val="0"/>
        </w:rPr>
      </w:r>
    </w:p>
    <w:p w:rsidR="00000000" w:rsidDel="00000000" w:rsidP="00000000" w:rsidRDefault="00000000" w:rsidRPr="00000000" w14:paraId="0000002D">
      <w:pPr>
        <w:rPr>
          <w:sz w:val="23"/>
          <w:szCs w:val="23"/>
        </w:rPr>
      </w:pPr>
      <w:r w:rsidDel="00000000" w:rsidR="00000000" w:rsidRPr="00000000">
        <w:rPr>
          <w:rtl w:val="0"/>
        </w:rPr>
      </w:r>
    </w:p>
    <w:p w:rsidR="00000000" w:rsidDel="00000000" w:rsidP="00000000" w:rsidRDefault="00000000" w:rsidRPr="00000000" w14:paraId="0000002E">
      <w:pPr>
        <w:rPr>
          <w:sz w:val="23"/>
          <w:szCs w:val="23"/>
        </w:rPr>
      </w:pPr>
      <w:r w:rsidDel="00000000" w:rsidR="00000000" w:rsidRPr="00000000">
        <w:rPr>
          <w:rtl w:val="0"/>
        </w:rPr>
      </w:r>
    </w:p>
    <w:p w:rsidR="00000000" w:rsidDel="00000000" w:rsidP="00000000" w:rsidRDefault="00000000" w:rsidRPr="00000000" w14:paraId="0000002F">
      <w:pPr>
        <w:rPr>
          <w:sz w:val="23"/>
          <w:szCs w:val="23"/>
        </w:rPr>
      </w:pPr>
      <w:r w:rsidDel="00000000" w:rsidR="00000000" w:rsidRPr="00000000">
        <w:rPr>
          <w:rtl w:val="0"/>
        </w:rPr>
      </w:r>
    </w:p>
    <w:p w:rsidR="00000000" w:rsidDel="00000000" w:rsidP="00000000" w:rsidRDefault="00000000" w:rsidRPr="00000000" w14:paraId="00000030">
      <w:pPr>
        <w:rPr>
          <w:sz w:val="23"/>
          <w:szCs w:val="23"/>
        </w:rPr>
      </w:pPr>
      <w:r w:rsidDel="00000000" w:rsidR="00000000" w:rsidRPr="00000000">
        <w:rPr>
          <w:rtl w:val="0"/>
        </w:rPr>
      </w:r>
    </w:p>
    <w:p w:rsidR="00000000" w:rsidDel="00000000" w:rsidP="00000000" w:rsidRDefault="00000000" w:rsidRPr="00000000" w14:paraId="00000031">
      <w:pPr>
        <w:rPr>
          <w:sz w:val="23"/>
          <w:szCs w:val="23"/>
        </w:rPr>
      </w:pPr>
      <w:r w:rsidDel="00000000" w:rsidR="00000000" w:rsidRPr="00000000">
        <w:rPr>
          <w:rtl w:val="0"/>
        </w:rPr>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rPr>
          <w:sz w:val="23"/>
          <w:szCs w:val="23"/>
        </w:rPr>
      </w:pPr>
      <w:r w:rsidDel="00000000" w:rsidR="00000000" w:rsidRPr="00000000">
        <w:rPr>
          <w:rtl w:val="0"/>
        </w:rPr>
      </w:r>
    </w:p>
    <w:p w:rsidR="00000000" w:rsidDel="00000000" w:rsidP="00000000" w:rsidRDefault="00000000" w:rsidRPr="00000000" w14:paraId="00000034">
      <w:pPr>
        <w:rPr>
          <w:sz w:val="23"/>
          <w:szCs w:val="23"/>
        </w:rPr>
      </w:pPr>
      <w:r w:rsidDel="00000000" w:rsidR="00000000" w:rsidRPr="00000000">
        <w:rPr>
          <w:rtl w:val="0"/>
        </w:rPr>
      </w:r>
    </w:p>
    <w:p w:rsidR="00000000" w:rsidDel="00000000" w:rsidP="00000000" w:rsidRDefault="00000000" w:rsidRPr="00000000" w14:paraId="00000035">
      <w:pPr>
        <w:rPr>
          <w:sz w:val="23"/>
          <w:szCs w:val="23"/>
        </w:rPr>
      </w:pPr>
      <w:r w:rsidDel="00000000" w:rsidR="00000000" w:rsidRPr="00000000">
        <w:rPr>
          <w:rtl w:val="0"/>
        </w:rPr>
      </w:r>
    </w:p>
    <w:p w:rsidR="00000000" w:rsidDel="00000000" w:rsidP="00000000" w:rsidRDefault="00000000" w:rsidRPr="00000000" w14:paraId="00000036">
      <w:pPr>
        <w:rPr>
          <w:sz w:val="23"/>
          <w:szCs w:val="23"/>
        </w:rPr>
      </w:pPr>
      <w:r w:rsidDel="00000000" w:rsidR="00000000" w:rsidRPr="00000000">
        <w:rPr>
          <w:rtl w:val="0"/>
        </w:rPr>
      </w:r>
    </w:p>
    <w:p w:rsidR="00000000" w:rsidDel="00000000" w:rsidP="00000000" w:rsidRDefault="00000000" w:rsidRPr="00000000" w14:paraId="00000037">
      <w:pPr>
        <w:rPr>
          <w:sz w:val="23"/>
          <w:szCs w:val="23"/>
        </w:rPr>
      </w:pPr>
      <w:r w:rsidDel="00000000" w:rsidR="00000000" w:rsidRPr="00000000">
        <w:rPr>
          <w:rtl w:val="0"/>
        </w:rPr>
      </w:r>
    </w:p>
    <w:p w:rsidR="00000000" w:rsidDel="00000000" w:rsidP="00000000" w:rsidRDefault="00000000" w:rsidRPr="00000000" w14:paraId="00000038">
      <w:pPr>
        <w:rPr>
          <w:sz w:val="23"/>
          <w:szCs w:val="23"/>
        </w:rPr>
      </w:pPr>
      <w:r w:rsidDel="00000000" w:rsidR="00000000" w:rsidRPr="00000000">
        <w:rPr>
          <w:rtl w:val="0"/>
        </w:rPr>
      </w:r>
    </w:p>
    <w:p w:rsidR="00000000" w:rsidDel="00000000" w:rsidP="00000000" w:rsidRDefault="00000000" w:rsidRPr="00000000" w14:paraId="00000039">
      <w:pPr>
        <w:rPr>
          <w:sz w:val="23"/>
          <w:szCs w:val="23"/>
        </w:rPr>
      </w:pPr>
      <w:r w:rsidDel="00000000" w:rsidR="00000000" w:rsidRPr="00000000">
        <w:rPr>
          <w:rtl w:val="0"/>
        </w:rPr>
      </w:r>
    </w:p>
    <w:p w:rsidR="00000000" w:rsidDel="00000000" w:rsidP="00000000" w:rsidRDefault="00000000" w:rsidRPr="00000000" w14:paraId="0000003A">
      <w:pPr>
        <w:rPr>
          <w:sz w:val="23"/>
          <w:szCs w:val="23"/>
        </w:rPr>
      </w:pPr>
      <w:r w:rsidDel="00000000" w:rsidR="00000000" w:rsidRPr="00000000">
        <w:rPr>
          <w:rtl w:val="0"/>
        </w:rPr>
      </w:r>
    </w:p>
    <w:p w:rsidR="00000000" w:rsidDel="00000000" w:rsidP="00000000" w:rsidRDefault="00000000" w:rsidRPr="00000000" w14:paraId="0000003B">
      <w:pPr>
        <w:rPr>
          <w:sz w:val="23"/>
          <w:szCs w:val="23"/>
        </w:rPr>
      </w:pPr>
      <w:r w:rsidDel="00000000" w:rsidR="00000000" w:rsidRPr="00000000">
        <w:rPr>
          <w:rtl w:val="0"/>
        </w:rPr>
      </w:r>
    </w:p>
    <w:p w:rsidR="00000000" w:rsidDel="00000000" w:rsidP="00000000" w:rsidRDefault="00000000" w:rsidRPr="00000000" w14:paraId="0000003C">
      <w:pPr>
        <w:rPr>
          <w:sz w:val="23"/>
          <w:szCs w:val="23"/>
        </w:rPr>
      </w:pPr>
      <w:r w:rsidDel="00000000" w:rsidR="00000000" w:rsidRPr="00000000">
        <w:rPr>
          <w:rtl w:val="0"/>
        </w:rPr>
      </w:r>
    </w:p>
    <w:p w:rsidR="00000000" w:rsidDel="00000000" w:rsidP="00000000" w:rsidRDefault="00000000" w:rsidRPr="00000000" w14:paraId="0000003D">
      <w:pPr>
        <w:rPr>
          <w:rFonts w:ascii="Calibri" w:cs="Calibri" w:eastAsia="Calibri" w:hAnsi="Calibri"/>
          <w:b w:val="1"/>
        </w:rPr>
      </w:pPr>
      <w:r w:rsidDel="00000000" w:rsidR="00000000" w:rsidRPr="00000000">
        <w:rPr>
          <w:rFonts w:ascii="Calibri" w:cs="Calibri" w:eastAsia="Calibri" w:hAnsi="Calibri"/>
          <w:b w:val="1"/>
          <w:sz w:val="28"/>
          <w:szCs w:val="28"/>
          <w:rtl w:val="0"/>
        </w:rPr>
        <w:t xml:space="preserve">Person specification</w:t>
      </w:r>
      <w:r w:rsidDel="00000000" w:rsidR="00000000" w:rsidRPr="00000000">
        <w:rPr>
          <w:rFonts w:ascii="Calibri" w:cs="Calibri" w:eastAsia="Calibri" w:hAnsi="Calibri"/>
          <w:b w:val="1"/>
          <w:rtl w:val="0"/>
        </w:rPr>
        <w:br w:type="textWrapping"/>
      </w:r>
    </w:p>
    <w:tbl>
      <w:tblPr>
        <w:tblStyle w:val="Table1"/>
        <w:tblW w:w="9741.0" w:type="dxa"/>
        <w:jc w:val="left"/>
        <w:tblInd w:w="-5.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1843"/>
        <w:gridCol w:w="7898"/>
        <w:tblGridChange w:id="0">
          <w:tblGrid>
            <w:gridCol w:w="1843"/>
            <w:gridCol w:w="7898"/>
          </w:tblGrid>
        </w:tblGridChange>
      </w:tblGrid>
      <w:tr>
        <w:trPr>
          <w:cantSplit w:val="1"/>
          <w:tblHeader w:val="0"/>
        </w:trPr>
        <w:tc>
          <w:tcPr>
            <w:tcBorders>
              <w:top w:color="f8f8f8" w:space="0" w:sz="4" w:val="single"/>
              <w:left w:color="f8f8f8" w:space="0" w:sz="4" w:val="single"/>
              <w:bottom w:color="f8f8f8" w:space="0" w:sz="4" w:val="single"/>
              <w:right w:color="f8f8f8" w:space="0" w:sz="12" w:val="single"/>
            </w:tcBorders>
            <w:shd w:fill="12263f" w:val="clear"/>
          </w:tcPr>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0" w:lineRule="auto"/>
              <w:jc w:val="center"/>
              <w:rPr>
                <w:rFonts w:ascii="Calibri" w:cs="Calibri" w:eastAsia="Calibri" w:hAnsi="Calibri"/>
                <w:smallCaps w:val="1"/>
                <w:color w:val="f8f8f8"/>
                <w:sz w:val="24"/>
                <w:szCs w:val="24"/>
              </w:rPr>
            </w:pPr>
            <w:r w:rsidDel="00000000" w:rsidR="00000000" w:rsidRPr="00000000">
              <w:rPr>
                <w:rFonts w:ascii="Calibri" w:cs="Calibri" w:eastAsia="Calibri" w:hAnsi="Calibri"/>
                <w:smallCaps w:val="1"/>
                <w:color w:val="f8f8f8"/>
                <w:sz w:val="24"/>
                <w:szCs w:val="24"/>
                <w:rtl w:val="0"/>
              </w:rPr>
              <w:t xml:space="preserve">CRITERIA</w:t>
            </w:r>
          </w:p>
        </w:tc>
        <w:tc>
          <w:tcPr>
            <w:tcBorders>
              <w:top w:color="f8f8f8" w:space="0" w:sz="4" w:val="single"/>
              <w:left w:color="f8f8f8" w:space="0" w:sz="12" w:val="single"/>
              <w:bottom w:color="f8f8f8" w:space="0" w:sz="4" w:val="single"/>
              <w:right w:color="f8f8f8" w:space="0" w:sz="4" w:val="single"/>
            </w:tcBorders>
            <w:shd w:fill="12263f" w:val="clear"/>
          </w:tcPr>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Rule="auto"/>
              <w:jc w:val="center"/>
              <w:rPr>
                <w:rFonts w:ascii="Calibri" w:cs="Calibri" w:eastAsia="Calibri" w:hAnsi="Calibri"/>
                <w:smallCaps w:val="1"/>
                <w:color w:val="f8f8f8"/>
                <w:sz w:val="24"/>
                <w:szCs w:val="24"/>
              </w:rPr>
            </w:pPr>
            <w:r w:rsidDel="00000000" w:rsidR="00000000" w:rsidRPr="00000000">
              <w:rPr>
                <w:rFonts w:ascii="Calibri" w:cs="Calibri" w:eastAsia="Calibri" w:hAnsi="Calibri"/>
                <w:smallCaps w:val="1"/>
                <w:color w:val="f8f8f8"/>
                <w:sz w:val="24"/>
                <w:szCs w:val="24"/>
                <w:rtl w:val="0"/>
              </w:rPr>
              <w:t xml:space="preserve">QUALITIES</w:t>
            </w:r>
          </w:p>
        </w:tc>
      </w:tr>
      <w:tr>
        <w:trPr>
          <w:cantSplit w:val="1"/>
          <w:tblHeader w:val="0"/>
        </w:trPr>
        <w:tc>
          <w:tcPr>
            <w:tcBorders>
              <w:top w:color="f8f8f8" w:space="0" w:sz="4" w:val="single"/>
            </w:tcBorders>
            <w:shd w:fill="auto" w:val="clear"/>
          </w:tcPr>
          <w:p w:rsidR="00000000" w:rsidDel="00000000" w:rsidP="00000000" w:rsidRDefault="00000000" w:rsidRPr="00000000" w14:paraId="00000040">
            <w:pPr>
              <w:keepLines w:val="1"/>
              <w:pBdr>
                <w:top w:space="0" w:sz="0" w:val="nil"/>
                <w:left w:space="0" w:sz="0" w:val="nil"/>
                <w:bottom w:space="0" w:sz="0" w:val="nil"/>
                <w:right w:space="0" w:sz="0" w:val="nil"/>
                <w:between w:space="0" w:sz="0" w:val="nil"/>
              </w:pBdr>
              <w:spacing w:after="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Qualifications </w:t>
              <w:br w:type="textWrapping"/>
              <w:t xml:space="preserve">and experience</w:t>
            </w:r>
          </w:p>
        </w:tc>
        <w:tc>
          <w:tcPr>
            <w:tcBorders>
              <w:top w:color="f8f8f8" w:space="0" w:sz="4" w:val="single"/>
            </w:tcBorders>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Desirable</w:t>
            </w:r>
          </w:p>
          <w:p w:rsidR="00000000" w:rsidDel="00000000" w:rsidP="00000000" w:rsidRDefault="00000000" w:rsidRPr="00000000" w14:paraId="00000042">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Level 2 or above in Play work or Childcare </w:t>
            </w:r>
          </w:p>
          <w:p w:rsidR="00000000" w:rsidDel="00000000" w:rsidP="00000000" w:rsidRDefault="00000000" w:rsidRPr="00000000" w14:paraId="00000043">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Current appropriate first aid certificate </w:t>
            </w:r>
          </w:p>
          <w:p w:rsidR="00000000" w:rsidDel="00000000" w:rsidP="00000000" w:rsidRDefault="00000000" w:rsidRPr="00000000" w14:paraId="00000044">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Food safety/hygiene qualification at Level 2 or above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Essential </w:t>
            </w:r>
            <w:r w:rsidDel="00000000" w:rsidR="00000000" w:rsidRPr="00000000">
              <w:rPr>
                <w:rtl w:val="0"/>
              </w:rPr>
            </w:r>
          </w:p>
          <w:p w:rsidR="00000000" w:rsidDel="00000000" w:rsidP="00000000" w:rsidRDefault="00000000" w:rsidRPr="00000000" w14:paraId="00000046">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Experience of working with children </w:t>
            </w:r>
          </w:p>
          <w:p w:rsidR="00000000" w:rsidDel="00000000" w:rsidP="00000000" w:rsidRDefault="00000000" w:rsidRPr="00000000" w14:paraId="00000047">
            <w:pPr>
              <w:numPr>
                <w:ilvl w:val="0"/>
                <w:numId w:val="2"/>
              </w:numPr>
              <w:spacing w:after="60" w:lineRule="auto"/>
              <w:ind w:left="360" w:hanging="360"/>
              <w:rPr>
                <w:rFonts w:ascii="Calibri" w:cs="Calibri" w:eastAsia="Calibri" w:hAnsi="Calibri"/>
                <w:color w:val="000000"/>
                <w:sz w:val="23"/>
                <w:szCs w:val="23"/>
              </w:rPr>
            </w:pPr>
            <w:r w:rsidDel="00000000" w:rsidR="00000000" w:rsidRPr="00000000">
              <w:rPr>
                <w:rFonts w:ascii="Calibri" w:cs="Calibri" w:eastAsia="Calibri" w:hAnsi="Calibri"/>
                <w:color w:val="000000"/>
                <w:sz w:val="24"/>
                <w:szCs w:val="24"/>
                <w:rtl w:val="0"/>
              </w:rPr>
              <w:t xml:space="preserve">Experience of working as part of a team</w:t>
            </w:r>
            <w:r w:rsidDel="00000000" w:rsidR="00000000" w:rsidRPr="00000000">
              <w:rPr>
                <w:sz w:val="23"/>
                <w:szCs w:val="23"/>
                <w:rtl w:val="0"/>
              </w:rPr>
              <w:t xml:space="preserve"> </w:t>
            </w:r>
            <w:r w:rsidDel="00000000" w:rsidR="00000000" w:rsidRPr="00000000">
              <w:rPr>
                <w:rtl w:val="0"/>
              </w:rPr>
            </w:r>
          </w:p>
        </w:tc>
      </w:tr>
      <w:tr>
        <w:trPr>
          <w:cantSplit w:val="1"/>
          <w:tblHeader w:val="0"/>
        </w:trPr>
        <w:tc>
          <w:tcPr>
            <w:shd w:fill="auto" w:val="clear"/>
            <w:tcMar>
              <w:top w:w="113.0" w:type="dxa"/>
              <w:bottom w:w="113.0" w:type="dxa"/>
            </w:tcMar>
          </w:tcPr>
          <w:p w:rsidR="00000000" w:rsidDel="00000000" w:rsidP="00000000" w:rsidRDefault="00000000" w:rsidRPr="00000000" w14:paraId="00000048">
            <w:pPr>
              <w:keepLines w:val="1"/>
              <w:pBdr>
                <w:top w:space="0" w:sz="0" w:val="nil"/>
                <w:left w:space="0" w:sz="0" w:val="nil"/>
                <w:bottom w:space="0" w:sz="0" w:val="nil"/>
                <w:right w:space="0" w:sz="0" w:val="nil"/>
                <w:between w:space="0" w:sz="0" w:val="nil"/>
              </w:pBdr>
              <w:spacing w:after="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Skills and knowledge</w:t>
            </w:r>
          </w:p>
        </w:tc>
        <w:tc>
          <w:tcPr>
            <w:shd w:fill="auto" w:val="clear"/>
            <w:tcMar>
              <w:top w:w="113.0" w:type="dxa"/>
              <w:bottom w:w="113.0" w:type="dxa"/>
            </w:tcM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Desirable</w:t>
            </w:r>
          </w:p>
          <w:p w:rsidR="00000000" w:rsidDel="00000000" w:rsidP="00000000" w:rsidRDefault="00000000" w:rsidRPr="00000000" w14:paraId="0000004A">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Experience of managing challenging behaviour in work with children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Essential </w:t>
            </w:r>
            <w:r w:rsidDel="00000000" w:rsidR="00000000" w:rsidRPr="00000000">
              <w:rPr>
                <w:rtl w:val="0"/>
              </w:rPr>
            </w:r>
          </w:p>
          <w:p w:rsidR="00000000" w:rsidDel="00000000" w:rsidP="00000000" w:rsidRDefault="00000000" w:rsidRPr="00000000" w14:paraId="0000004C">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Ability to use initiative, within framework of policies and procedures </w:t>
            </w:r>
          </w:p>
          <w:p w:rsidR="00000000" w:rsidDel="00000000" w:rsidP="00000000" w:rsidRDefault="00000000" w:rsidRPr="00000000" w14:paraId="0000004D">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commitment to high quality inclusive childcare and play </w:t>
            </w:r>
          </w:p>
          <w:p w:rsidR="00000000" w:rsidDel="00000000" w:rsidP="00000000" w:rsidRDefault="00000000" w:rsidRPr="00000000" w14:paraId="0000004E">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Good organisational skills </w:t>
            </w:r>
          </w:p>
          <w:p w:rsidR="00000000" w:rsidDel="00000000" w:rsidP="00000000" w:rsidRDefault="00000000" w:rsidRPr="00000000" w14:paraId="0000004F">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Ability to build effective working relationships with pupils and adults </w:t>
            </w:r>
          </w:p>
          <w:p w:rsidR="00000000" w:rsidDel="00000000" w:rsidP="00000000" w:rsidRDefault="00000000" w:rsidRPr="00000000" w14:paraId="00000050">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Skills and expertise in understanding the needs of all pupils </w:t>
            </w:r>
          </w:p>
          <w:p w:rsidR="00000000" w:rsidDel="00000000" w:rsidP="00000000" w:rsidRDefault="00000000" w:rsidRPr="00000000" w14:paraId="00000051">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Knowledge of how to help adapt and deliver support to meet individual needs </w:t>
            </w:r>
          </w:p>
          <w:p w:rsidR="00000000" w:rsidDel="00000000" w:rsidP="00000000" w:rsidRDefault="00000000" w:rsidRPr="00000000" w14:paraId="00000052">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The ability to remain calm in stressful situations </w:t>
            </w:r>
          </w:p>
          <w:p w:rsidR="00000000" w:rsidDel="00000000" w:rsidP="00000000" w:rsidRDefault="00000000" w:rsidRPr="00000000" w14:paraId="00000053">
            <w:pPr>
              <w:numPr>
                <w:ilvl w:val="0"/>
                <w:numId w:val="2"/>
              </w:numP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Knowledge of guidance and requirements around safeguarding children </w:t>
            </w:r>
          </w:p>
        </w:tc>
      </w:tr>
      <w:tr>
        <w:trPr>
          <w:cantSplit w:val="1"/>
          <w:tblHeader w:val="0"/>
        </w:trPr>
        <w:tc>
          <w:tcPr>
            <w:shd w:fill="auto" w:val="clear"/>
            <w:tcMar>
              <w:top w:w="113.0" w:type="dxa"/>
              <w:bottom w:w="113.0" w:type="dxa"/>
            </w:tcMar>
          </w:tcPr>
          <w:p w:rsidR="00000000" w:rsidDel="00000000" w:rsidP="00000000" w:rsidRDefault="00000000" w:rsidRPr="00000000" w14:paraId="00000054">
            <w:pPr>
              <w:keepLines w:val="1"/>
              <w:pBdr>
                <w:top w:space="0" w:sz="0" w:val="nil"/>
                <w:left w:space="0" w:sz="0" w:val="nil"/>
                <w:bottom w:space="0" w:sz="0" w:val="nil"/>
                <w:right w:space="0" w:sz="0" w:val="nil"/>
                <w:between w:space="0" w:sz="0" w:val="nil"/>
              </w:pBdr>
              <w:spacing w:after="6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Personal qualities</w:t>
            </w:r>
          </w:p>
        </w:tc>
        <w:tc>
          <w:tcPr>
            <w:shd w:fill="auto" w:val="clear"/>
            <w:tcMar>
              <w:top w:w="113.0" w:type="dxa"/>
              <w:bottom w:w="113.0" w:type="dxa"/>
            </w:tcMar>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lineRule="auto"/>
              <w:ind w:left="340" w:hanging="170"/>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Essential</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Enjoyment of working with children</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Sensitivity and understanding, to help build good relationships with pupils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 commitment to getting the best outcomes for all pupils and promoting the ethos and values of the school</w:t>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Commitment to always maintaining confidentiality</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spacing w:after="60" w:lineRule="auto"/>
              <w:ind w:left="360" w:hanging="360"/>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Commitment to safeguarding pupil’s wellbeing and equality</w:t>
            </w:r>
          </w:p>
        </w:tc>
      </w:tr>
    </w:tbl>
    <w:p w:rsidR="00000000" w:rsidDel="00000000" w:rsidP="00000000" w:rsidRDefault="00000000" w:rsidRPr="00000000" w14:paraId="0000005B">
      <w:pPr>
        <w:pStyle w:val="Heading1"/>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C">
      <w:pPr>
        <w:pStyle w:val="Heading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Notes:</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This job description may be amended at any time in consultation with the postholder. </w:t>
      </w:r>
    </w:p>
    <w:sectPr>
      <w:headerReference r:id="rId6" w:type="default"/>
      <w:headerReference r:id="rId7" w:type="first"/>
      <w:headerReference r:id="rId8" w:type="even"/>
      <w:pgSz w:h="16840" w:w="11900" w:orient="portrait"/>
      <w:pgMar w:bottom="851" w:top="567" w:left="1077" w:right="1077" w:header="454" w:footer="22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E">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 name="image2.png"/>
          <a:graphic>
            <a:graphicData uri="http://schemas.openxmlformats.org/drawingml/2006/picture">
              <pic:pic>
                <pic:nvPicPr>
                  <pic:cNvPr descr="keydocs-background-banner" id="0" name="image2.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pict>
        <v:shape id="WordPictureWatermark1" style="position:absolute;width:595.15pt;height:842.2pt;rotation:0;z-index:-503316481;mso-position-horizontal-relative:margin;mso-position-horizontal:center;mso-position-vertical-relative:margin;mso-position-vertical:center;" alt="keydocs-background" type="#_x0000_t75">
          <v:imagedata cropbottom="0f" cropleft="0f" cropright="0f" croptop="0f" r:id="rId2" o:title="image1.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lang w:val="en-GB"/>
      </w:rPr>
    </w:rPrDefault>
    <w:pPrDefault>
      <w:pPr>
        <w:spacing w:after="12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20" w:lineRule="auto"/>
    </w:pPr>
    <w:rPr>
      <w:b w:val="1"/>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i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spacing w:before="120" w:lineRule="auto"/>
    </w:pPr>
    <w:rPr>
      <w:b w:val="1"/>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