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16"/>
      </w:tblGrid>
      <w:tr w:rsidR="0074246F" w14:paraId="23206A28" w14:textId="77777777" w:rsidTr="0074452E">
        <w:tc>
          <w:tcPr>
            <w:tcW w:w="9016" w:type="dxa"/>
          </w:tcPr>
          <w:p w14:paraId="6160059A" w14:textId="01F7CD58" w:rsidR="0074246F" w:rsidRPr="000104C7" w:rsidRDefault="0074246F">
            <w:pPr>
              <w:rPr>
                <w:b/>
                <w:bCs/>
              </w:rPr>
            </w:pPr>
            <w:r w:rsidRPr="00E83DD5">
              <w:rPr>
                <w:b/>
                <w:bCs/>
                <w:u w:val="single"/>
              </w:rPr>
              <w:t>Person Specification:</w:t>
            </w:r>
            <w:r w:rsidR="000104C7">
              <w:rPr>
                <w:b/>
                <w:bCs/>
              </w:rPr>
              <w:t xml:space="preserve"> </w:t>
            </w:r>
            <w:r w:rsidR="002E752D">
              <w:rPr>
                <w:b/>
                <w:bCs/>
              </w:rPr>
              <w:t>REGIONAL ALTERNAT</w:t>
            </w:r>
            <w:r w:rsidR="006609F9">
              <w:rPr>
                <w:b/>
                <w:bCs/>
              </w:rPr>
              <w:t>IVE</w:t>
            </w:r>
            <w:r w:rsidR="002E752D">
              <w:rPr>
                <w:b/>
                <w:bCs/>
              </w:rPr>
              <w:t xml:space="preserve"> PROVISION </w:t>
            </w:r>
            <w:r w:rsidR="009A0FBE">
              <w:rPr>
                <w:b/>
                <w:bCs/>
              </w:rPr>
              <w:t>LEAD</w:t>
            </w:r>
          </w:p>
          <w:p w14:paraId="2950FDAC" w14:textId="15BE4CA4" w:rsidR="0074452E" w:rsidRPr="00E83DD5" w:rsidRDefault="0074452E">
            <w:pPr>
              <w:rPr>
                <w:b/>
                <w:bCs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tblpY="49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4111"/>
      </w:tblGrid>
      <w:tr w:rsidR="00BF0061" w14:paraId="1B00737A" w14:textId="77777777" w:rsidTr="006609F9">
        <w:tc>
          <w:tcPr>
            <w:tcW w:w="1980" w:type="dxa"/>
          </w:tcPr>
          <w:p w14:paraId="253D3965" w14:textId="3BC6E75F" w:rsidR="00BF0061" w:rsidRPr="00E83DD5" w:rsidRDefault="00231234" w:rsidP="00BF0061">
            <w:pPr>
              <w:rPr>
                <w:b/>
                <w:bCs/>
                <w:u w:val="single"/>
              </w:rPr>
            </w:pPr>
            <w:r w:rsidRPr="00E83DD5">
              <w:rPr>
                <w:b/>
                <w:bCs/>
                <w:u w:val="single"/>
              </w:rPr>
              <w:t>Criteria:</w:t>
            </w:r>
          </w:p>
        </w:tc>
        <w:tc>
          <w:tcPr>
            <w:tcW w:w="4252" w:type="dxa"/>
          </w:tcPr>
          <w:p w14:paraId="38CFA086" w14:textId="4BBA0E64" w:rsidR="00BF0061" w:rsidRPr="00E83DD5" w:rsidRDefault="00231234" w:rsidP="00BF0061">
            <w:pPr>
              <w:rPr>
                <w:b/>
                <w:bCs/>
                <w:u w:val="single"/>
              </w:rPr>
            </w:pPr>
            <w:r w:rsidRPr="00E83DD5">
              <w:rPr>
                <w:b/>
                <w:bCs/>
                <w:u w:val="single"/>
              </w:rPr>
              <w:t>Essential:</w:t>
            </w:r>
          </w:p>
        </w:tc>
        <w:tc>
          <w:tcPr>
            <w:tcW w:w="4111" w:type="dxa"/>
          </w:tcPr>
          <w:p w14:paraId="104DFD70" w14:textId="3BAB306B" w:rsidR="00BF0061" w:rsidRPr="00E83DD5" w:rsidRDefault="00231234" w:rsidP="00BF0061">
            <w:pPr>
              <w:rPr>
                <w:b/>
                <w:bCs/>
                <w:u w:val="single"/>
              </w:rPr>
            </w:pPr>
            <w:r w:rsidRPr="00E83DD5">
              <w:rPr>
                <w:b/>
                <w:bCs/>
                <w:u w:val="single"/>
              </w:rPr>
              <w:t>Desirable:</w:t>
            </w:r>
          </w:p>
        </w:tc>
      </w:tr>
      <w:tr w:rsidR="00BF0061" w14:paraId="709B7B76" w14:textId="77777777" w:rsidTr="006609F9">
        <w:tc>
          <w:tcPr>
            <w:tcW w:w="1980" w:type="dxa"/>
          </w:tcPr>
          <w:p w14:paraId="7B5AD53A" w14:textId="25F796F4" w:rsidR="00BF0061" w:rsidRDefault="00231234" w:rsidP="00BF0061">
            <w:r>
              <w:t xml:space="preserve">Qualifications </w:t>
            </w:r>
          </w:p>
        </w:tc>
        <w:tc>
          <w:tcPr>
            <w:tcW w:w="4252" w:type="dxa"/>
          </w:tcPr>
          <w:p w14:paraId="66B2FDF7" w14:textId="23BB8A89" w:rsidR="00BF0061" w:rsidRPr="00EA350A" w:rsidRDefault="00017220" w:rsidP="00BF0061">
            <w:r w:rsidRPr="00EA350A">
              <w:rPr>
                <w:lang w:eastAsia="en-GB"/>
              </w:rPr>
              <w:t xml:space="preserve">• Relevant degree or equivalent professional experience in education, youth services, SEND, inclusion or a related field </w:t>
            </w:r>
            <w:r w:rsidRPr="00EA350A">
              <w:rPr>
                <w:lang w:eastAsia="en-GB"/>
              </w:rPr>
              <w:br/>
              <w:t>• Evidence of ongoing professional development relevant to alternative provision, safeguarding, SEND, behaviour or inclusion</w:t>
            </w:r>
          </w:p>
        </w:tc>
        <w:tc>
          <w:tcPr>
            <w:tcW w:w="4111" w:type="dxa"/>
          </w:tcPr>
          <w:p w14:paraId="5F42D4CC" w14:textId="77777777" w:rsidR="00BF0061" w:rsidRPr="00EA350A" w:rsidRDefault="00017220" w:rsidP="002E752D">
            <w:pPr>
              <w:rPr>
                <w:lang w:eastAsia="en-GB"/>
              </w:rPr>
            </w:pPr>
            <w:r w:rsidRPr="00EA350A">
              <w:rPr>
                <w:lang w:eastAsia="en-GB"/>
              </w:rPr>
              <w:t xml:space="preserve">• Qualified Teacher Status (QTS) or relevant teaching/training qualification (desirable depending on experience) </w:t>
            </w:r>
          </w:p>
          <w:p w14:paraId="7BC5DC25" w14:textId="09C4DB60" w:rsidR="00017220" w:rsidRPr="00EA350A" w:rsidRDefault="00017220" w:rsidP="002E752D">
            <w:r w:rsidRPr="00EA350A">
              <w:t xml:space="preserve">• Leadership or management qualification </w:t>
            </w:r>
            <w:r w:rsidRPr="00EA350A">
              <w:br/>
              <w:t xml:space="preserve">• DSL qualification/training </w:t>
            </w:r>
            <w:r w:rsidRPr="00EA350A">
              <w:br/>
              <w:t>• Additional qualifications relating to SEND, SEMH, trauma-informed practice or therapeutic approaches</w:t>
            </w:r>
          </w:p>
        </w:tc>
      </w:tr>
      <w:tr w:rsidR="00BF0061" w14:paraId="226E51AC" w14:textId="77777777" w:rsidTr="006609F9">
        <w:tc>
          <w:tcPr>
            <w:tcW w:w="1980" w:type="dxa"/>
          </w:tcPr>
          <w:p w14:paraId="17DC602C" w14:textId="5E11B771" w:rsidR="00BF0061" w:rsidRDefault="00231234" w:rsidP="00BF0061">
            <w:r>
              <w:t xml:space="preserve">Experience </w:t>
            </w:r>
          </w:p>
        </w:tc>
        <w:tc>
          <w:tcPr>
            <w:tcW w:w="4252" w:type="dxa"/>
          </w:tcPr>
          <w:p w14:paraId="7C6226A9" w14:textId="1AEC94D6" w:rsidR="00BF0061" w:rsidRPr="00EA350A" w:rsidRDefault="00017220" w:rsidP="00BF0061">
            <w:r w:rsidRPr="00EA350A">
              <w:rPr>
                <w:lang w:eastAsia="en-GB"/>
              </w:rPr>
              <w:t xml:space="preserve">• Significant experience working within Alternative Provision, SEND, inclusion, education/schools, youth services or a related setting </w:t>
            </w:r>
            <w:r w:rsidRPr="00EA350A">
              <w:rPr>
                <w:lang w:eastAsia="en-GB"/>
              </w:rPr>
              <w:br/>
              <w:t xml:space="preserve">• Experience of leading, managing or developing provision that supports learners with barriers to education </w:t>
            </w:r>
            <w:r w:rsidRPr="00EA350A">
              <w:rPr>
                <w:lang w:eastAsia="en-GB"/>
              </w:rPr>
              <w:br/>
              <w:t xml:space="preserve">• Experience of managing staff teams and supporting effective service delivery </w:t>
            </w:r>
            <w:r w:rsidRPr="00EA350A">
              <w:rPr>
                <w:lang w:eastAsia="en-GB"/>
              </w:rPr>
              <w:br/>
              <w:t xml:space="preserve">• Experience of working with young people with SEND, SEMH, behavioural needs and complex barriers to learning </w:t>
            </w:r>
            <w:r w:rsidRPr="00EA350A">
              <w:rPr>
                <w:lang w:eastAsia="en-GB"/>
              </w:rPr>
              <w:br/>
              <w:t>• Demonstrable experience of improving outcomes, engagement, attendance or progression</w:t>
            </w:r>
            <w:r w:rsidR="001E7072">
              <w:rPr>
                <w:lang w:eastAsia="en-GB"/>
              </w:rPr>
              <w:t xml:space="preserve"> for children and/or young people</w:t>
            </w:r>
          </w:p>
        </w:tc>
        <w:tc>
          <w:tcPr>
            <w:tcW w:w="4111" w:type="dxa"/>
          </w:tcPr>
          <w:p w14:paraId="5C7227D1" w14:textId="5AED89F6" w:rsidR="00BF0061" w:rsidRPr="00EA350A" w:rsidRDefault="00017220" w:rsidP="00BF0061">
            <w:r w:rsidRPr="00EA350A">
              <w:rPr>
                <w:lang w:eastAsia="en-GB"/>
              </w:rPr>
              <w:t xml:space="preserve">• Experience of developing a new provision, service or programme </w:t>
            </w:r>
            <w:r w:rsidRPr="00EA350A">
              <w:rPr>
                <w:lang w:eastAsia="en-GB"/>
              </w:rPr>
              <w:br/>
              <w:t xml:space="preserve">• Experience working across multiple sites, regions, local authorities or MAT structures </w:t>
            </w:r>
            <w:r w:rsidRPr="00EA350A">
              <w:rPr>
                <w:lang w:eastAsia="en-GB"/>
              </w:rPr>
              <w:br/>
              <w:t xml:space="preserve">• Experience of AP commissioning, funding arrangements or partnership contracts </w:t>
            </w:r>
            <w:r w:rsidRPr="00EA350A">
              <w:rPr>
                <w:lang w:eastAsia="en-GB"/>
              </w:rPr>
              <w:br/>
              <w:t>• Experience preparing for inspections, audits or external quality reviews</w:t>
            </w:r>
          </w:p>
        </w:tc>
      </w:tr>
      <w:tr w:rsidR="00BF0061" w14:paraId="791BAB7D" w14:textId="77777777" w:rsidTr="006609F9">
        <w:tc>
          <w:tcPr>
            <w:tcW w:w="1980" w:type="dxa"/>
          </w:tcPr>
          <w:p w14:paraId="7D3FF7AA" w14:textId="0B98ED87" w:rsidR="00BF0061" w:rsidRDefault="00231234" w:rsidP="00BF0061">
            <w:r>
              <w:t xml:space="preserve">Knowledge and understanding </w:t>
            </w:r>
          </w:p>
        </w:tc>
        <w:tc>
          <w:tcPr>
            <w:tcW w:w="4252" w:type="dxa"/>
          </w:tcPr>
          <w:p w14:paraId="1A0D4034" w14:textId="10456050" w:rsidR="00BF0061" w:rsidRPr="00EA350A" w:rsidRDefault="00017220" w:rsidP="00BF0061">
            <w:r w:rsidRPr="00EA350A">
              <w:rPr>
                <w:lang w:eastAsia="en-GB"/>
              </w:rPr>
              <w:t xml:space="preserve">• Strong understanding of Alternative Provision, inclusion and the barriers that can prevent young people accessing education </w:t>
            </w:r>
            <w:r w:rsidRPr="00EA350A">
              <w:rPr>
                <w:lang w:eastAsia="en-GB"/>
              </w:rPr>
              <w:br/>
              <w:t xml:space="preserve">• In-depth knowledge of SEND, SEMH, behaviour support, safeguarding and relational approaches </w:t>
            </w:r>
            <w:r w:rsidRPr="00EA350A">
              <w:rPr>
                <w:lang w:eastAsia="en-GB"/>
              </w:rPr>
              <w:br/>
              <w:t xml:space="preserve">• Strong understanding of the SEND Code of Practice and how this informs personalised provision and support planning </w:t>
            </w:r>
            <w:r w:rsidRPr="00EA350A">
              <w:rPr>
                <w:lang w:eastAsia="en-GB"/>
              </w:rPr>
              <w:br/>
              <w:t xml:space="preserve">• Understanding of Education, Health and Care Plans (EHCPs), including supporting effective delivery, review and outcomes for learners with identified needs </w:t>
            </w:r>
            <w:r w:rsidRPr="00EA350A">
              <w:rPr>
                <w:lang w:eastAsia="en-GB"/>
              </w:rPr>
              <w:br/>
              <w:t xml:space="preserve">• Knowledge and understanding of Section 19 duties relating to the provision of suitable education for children and young people who are unable to access mainstream education </w:t>
            </w:r>
            <w:r w:rsidRPr="00EA350A">
              <w:rPr>
                <w:lang w:eastAsia="en-GB"/>
              </w:rPr>
              <w:br/>
              <w:t xml:space="preserve">• Understanding of effective quality assurance, continuous improvement and accountability processes </w:t>
            </w:r>
            <w:r w:rsidRPr="00EA350A">
              <w:rPr>
                <w:lang w:eastAsia="en-GB"/>
              </w:rPr>
              <w:br/>
              <w:t xml:space="preserve">• Knowledge of safeguarding requirements, risk management and safe working practices </w:t>
            </w:r>
            <w:r w:rsidRPr="00EA350A">
              <w:rPr>
                <w:lang w:eastAsia="en-GB"/>
              </w:rPr>
              <w:br/>
              <w:t xml:space="preserve">• Understanding of multi-agency working and partnership approaches, including </w:t>
            </w:r>
            <w:r w:rsidRPr="00EA350A">
              <w:rPr>
                <w:lang w:eastAsia="en-GB"/>
              </w:rPr>
              <w:lastRenderedPageBreak/>
              <w:t xml:space="preserve">working with schools, local authorities, families and external agencies </w:t>
            </w:r>
            <w:r w:rsidRPr="00EA350A">
              <w:rPr>
                <w:lang w:eastAsia="en-GB"/>
              </w:rPr>
              <w:br/>
              <w:t>• Strong understanding of data, reporting and using information to monitor progress and improve outcomes</w:t>
            </w:r>
          </w:p>
        </w:tc>
        <w:tc>
          <w:tcPr>
            <w:tcW w:w="4111" w:type="dxa"/>
          </w:tcPr>
          <w:p w14:paraId="33E331F4" w14:textId="6980CD95" w:rsidR="00017220" w:rsidRPr="00EA350A" w:rsidRDefault="00017220" w:rsidP="00017220">
            <w:pPr>
              <w:spacing w:line="276" w:lineRule="auto"/>
              <w:rPr>
                <w:lang w:eastAsia="en-GB"/>
              </w:rPr>
            </w:pPr>
            <w:r w:rsidRPr="00EA350A">
              <w:rPr>
                <w:lang w:eastAsia="en-GB"/>
              </w:rPr>
              <w:lastRenderedPageBreak/>
              <w:t>• Knowledge of local authority commissioning processes and education pathways</w:t>
            </w:r>
          </w:p>
          <w:p w14:paraId="5840A828" w14:textId="0D5BC624" w:rsidR="00017220" w:rsidRPr="00EA350A" w:rsidRDefault="00017220" w:rsidP="00017220">
            <w:pPr>
              <w:spacing w:line="276" w:lineRule="auto"/>
              <w:rPr>
                <w:lang w:eastAsia="en-GB"/>
              </w:rPr>
            </w:pPr>
            <w:r w:rsidRPr="00EA350A">
              <w:rPr>
                <w:lang w:eastAsia="en-GB"/>
              </w:rPr>
              <w:t>• Knowledge of trauma-informed approaches and therapeutic interventions</w:t>
            </w:r>
          </w:p>
          <w:p w14:paraId="0964BFB8" w14:textId="437FF846" w:rsidR="00BF0061" w:rsidRPr="00EA350A" w:rsidRDefault="00017220" w:rsidP="00017220">
            <w:r w:rsidRPr="00EA350A">
              <w:rPr>
                <w:lang w:eastAsia="en-GB"/>
              </w:rPr>
              <w:t>• Understanding of preparation for adulthood pathways and progression routes</w:t>
            </w:r>
          </w:p>
        </w:tc>
      </w:tr>
      <w:tr w:rsidR="00BF0061" w14:paraId="52C8583C" w14:textId="77777777" w:rsidTr="006609F9">
        <w:tc>
          <w:tcPr>
            <w:tcW w:w="1980" w:type="dxa"/>
          </w:tcPr>
          <w:p w14:paraId="358EDCB6" w14:textId="51B28F4C" w:rsidR="00BF0061" w:rsidRPr="00DB7B74" w:rsidRDefault="007C4838" w:rsidP="00BF0061">
            <w:r w:rsidRPr="00DB7B74">
              <w:t xml:space="preserve">Skills &amp; abilities </w:t>
            </w:r>
          </w:p>
        </w:tc>
        <w:tc>
          <w:tcPr>
            <w:tcW w:w="4252" w:type="dxa"/>
          </w:tcPr>
          <w:p w14:paraId="44B60729" w14:textId="0C6AFCC9" w:rsidR="000104C7" w:rsidRPr="00EA350A" w:rsidRDefault="00017220" w:rsidP="00FC4220">
            <w:pPr>
              <w:spacing w:line="276" w:lineRule="auto"/>
            </w:pPr>
            <w:r w:rsidRPr="00EA350A">
              <w:t xml:space="preserve">• Strong leadership skills with the ability to develop, motivate and support staff teams </w:t>
            </w:r>
            <w:r w:rsidRPr="00EA350A">
              <w:br/>
              <w:t xml:space="preserve">• Ability to strategically develop and operationally manage learning opportunities across multiple settings </w:t>
            </w:r>
            <w:r w:rsidRPr="00EA350A">
              <w:br/>
              <w:t xml:space="preserve">• Ability to coordinate learner placements and ensure appropriate personalised pathways </w:t>
            </w:r>
            <w:r w:rsidRPr="00EA350A">
              <w:br/>
              <w:t xml:space="preserve">• Strong communication, influencing and stakeholder management skills </w:t>
            </w:r>
            <w:r w:rsidRPr="00EA350A">
              <w:br/>
              <w:t xml:space="preserve">• Ability to build effective relationships with schools, local authorities, families and external agencies </w:t>
            </w:r>
            <w:r w:rsidRPr="00EA350A">
              <w:br/>
              <w:t xml:space="preserve">• Ability to monitor quality, compliance and outcomes across provision </w:t>
            </w:r>
            <w:r w:rsidRPr="00EA350A">
              <w:br/>
              <w:t xml:space="preserve">• Strong organisational skills with the ability to prioritise competing demands </w:t>
            </w:r>
            <w:r w:rsidRPr="00EA350A">
              <w:br/>
              <w:t xml:space="preserve">• Ability to analyse data and use insight to drive improvement </w:t>
            </w:r>
            <w:r w:rsidRPr="00EA350A">
              <w:br/>
              <w:t>• Experience of safeguarding processes, risk assessments and managing operational risks</w:t>
            </w:r>
          </w:p>
        </w:tc>
        <w:tc>
          <w:tcPr>
            <w:tcW w:w="4111" w:type="dxa"/>
          </w:tcPr>
          <w:p w14:paraId="163D8FF5" w14:textId="44550DFD" w:rsidR="00BF0061" w:rsidRPr="00EA350A" w:rsidRDefault="00017220" w:rsidP="009A1C8C">
            <w:r w:rsidRPr="00EA350A">
              <w:t xml:space="preserve">• Experience managing budgets and resources </w:t>
            </w:r>
            <w:r w:rsidRPr="00EA350A">
              <w:br/>
              <w:t xml:space="preserve">• Experience developing policies, procedures and operational frameworks </w:t>
            </w:r>
            <w:r w:rsidRPr="00EA350A">
              <w:br/>
              <w:t xml:space="preserve">• Experience managing contracts, service level agreements or commissioned services </w:t>
            </w:r>
            <w:r w:rsidRPr="00EA350A">
              <w:br/>
              <w:t>• Experience leading reintegration, inclusion or reducing exclusion strategies</w:t>
            </w:r>
          </w:p>
        </w:tc>
      </w:tr>
      <w:tr w:rsidR="00BF0061" w14:paraId="786D1927" w14:textId="77777777" w:rsidTr="006609F9">
        <w:tc>
          <w:tcPr>
            <w:tcW w:w="1980" w:type="dxa"/>
          </w:tcPr>
          <w:p w14:paraId="6AEDD268" w14:textId="279E51D2" w:rsidR="00BF0061" w:rsidRDefault="007C4838" w:rsidP="00BF0061">
            <w:r>
              <w:t xml:space="preserve">Personal attributes </w:t>
            </w:r>
          </w:p>
        </w:tc>
        <w:tc>
          <w:tcPr>
            <w:tcW w:w="4252" w:type="dxa"/>
          </w:tcPr>
          <w:p w14:paraId="12C51E2F" w14:textId="77777777" w:rsidR="00017220" w:rsidRPr="00EA350A" w:rsidRDefault="00017220" w:rsidP="00017220">
            <w:pPr>
              <w:rPr>
                <w:lang w:eastAsia="en-GB"/>
              </w:rPr>
            </w:pPr>
            <w:r w:rsidRPr="00EA350A">
              <w:rPr>
                <w:lang w:eastAsia="en-GB"/>
              </w:rPr>
              <w:t>• Passionate about improving outcomes for children and young people</w:t>
            </w:r>
          </w:p>
          <w:p w14:paraId="2F23BF73" w14:textId="77777777" w:rsidR="00017220" w:rsidRPr="00EA350A" w:rsidRDefault="00017220" w:rsidP="00017220">
            <w:pPr>
              <w:rPr>
                <w:lang w:eastAsia="en-GB"/>
              </w:rPr>
            </w:pPr>
            <w:r w:rsidRPr="00EA350A">
              <w:rPr>
                <w:lang w:eastAsia="en-GB"/>
              </w:rPr>
              <w:t>• High levels of emotional intelligence and ability to build positive relationships</w:t>
            </w:r>
          </w:p>
          <w:p w14:paraId="09747878" w14:textId="77777777" w:rsidR="00017220" w:rsidRPr="00EA350A" w:rsidRDefault="00017220" w:rsidP="00017220">
            <w:pPr>
              <w:rPr>
                <w:lang w:eastAsia="en-GB"/>
              </w:rPr>
            </w:pPr>
            <w:r w:rsidRPr="00EA350A">
              <w:rPr>
                <w:lang w:eastAsia="en-GB"/>
              </w:rPr>
              <w:t>• Resilient, calm and solution-focused when managing challenging situations</w:t>
            </w:r>
          </w:p>
          <w:p w14:paraId="543E5754" w14:textId="77777777" w:rsidR="00017220" w:rsidRPr="00EA350A" w:rsidRDefault="00017220" w:rsidP="00017220">
            <w:pPr>
              <w:rPr>
                <w:lang w:eastAsia="en-GB"/>
              </w:rPr>
            </w:pPr>
            <w:r w:rsidRPr="00EA350A">
              <w:rPr>
                <w:lang w:eastAsia="en-GB"/>
              </w:rPr>
              <w:t>• Strong values around inclusion, equality and personalised support</w:t>
            </w:r>
          </w:p>
          <w:p w14:paraId="76A91325" w14:textId="77777777" w:rsidR="00017220" w:rsidRPr="00EA350A" w:rsidRDefault="00017220" w:rsidP="00017220">
            <w:pPr>
              <w:rPr>
                <w:lang w:eastAsia="en-GB"/>
              </w:rPr>
            </w:pPr>
            <w:r w:rsidRPr="00EA350A">
              <w:rPr>
                <w:lang w:eastAsia="en-GB"/>
              </w:rPr>
              <w:t>• Able to balance compassion with high expectations and clear boundaries</w:t>
            </w:r>
          </w:p>
          <w:p w14:paraId="4F506648" w14:textId="77777777" w:rsidR="00017220" w:rsidRPr="00EA350A" w:rsidRDefault="00017220" w:rsidP="00017220">
            <w:pPr>
              <w:rPr>
                <w:lang w:eastAsia="en-GB"/>
              </w:rPr>
            </w:pPr>
            <w:r w:rsidRPr="00EA350A">
              <w:rPr>
                <w:lang w:eastAsia="en-GB"/>
              </w:rPr>
              <w:t>• Reflective, adaptable and committed to continuous improvement</w:t>
            </w:r>
          </w:p>
          <w:p w14:paraId="40ADCD1A" w14:textId="5A70AB1A" w:rsidR="000104C7" w:rsidRPr="00EA350A" w:rsidRDefault="00017220" w:rsidP="00017220">
            <w:r w:rsidRPr="00EA350A">
              <w:rPr>
                <w:lang w:eastAsia="en-GB"/>
              </w:rPr>
              <w:t>• Able to work collaboratively while taking ownership and accountability</w:t>
            </w:r>
          </w:p>
        </w:tc>
        <w:tc>
          <w:tcPr>
            <w:tcW w:w="4111" w:type="dxa"/>
          </w:tcPr>
          <w:p w14:paraId="66A238E2" w14:textId="4A16D9A9" w:rsidR="00BF0061" w:rsidRPr="00EA350A" w:rsidRDefault="00017220" w:rsidP="00017220">
            <w:r w:rsidRPr="00EA350A">
              <w:t xml:space="preserve">• Entrepreneurial mindset with the ability to contribute to service growth and development </w:t>
            </w:r>
            <w:r w:rsidRPr="00EA350A">
              <w:br/>
              <w:t>• Experience working in a changing or developing organisation</w:t>
            </w:r>
          </w:p>
        </w:tc>
      </w:tr>
      <w:tr w:rsidR="00BF0061" w14:paraId="7EF62DBA" w14:textId="77777777" w:rsidTr="006609F9">
        <w:tc>
          <w:tcPr>
            <w:tcW w:w="1980" w:type="dxa"/>
          </w:tcPr>
          <w:p w14:paraId="0C6AF252" w14:textId="28562557" w:rsidR="00BF0061" w:rsidRDefault="007C4838" w:rsidP="00BF0061">
            <w:r>
              <w:t>Other requirements</w:t>
            </w:r>
          </w:p>
        </w:tc>
        <w:tc>
          <w:tcPr>
            <w:tcW w:w="4252" w:type="dxa"/>
          </w:tcPr>
          <w:p w14:paraId="0BC8F516" w14:textId="38DEDA4F" w:rsidR="00BF0061" w:rsidRPr="00EA350A" w:rsidRDefault="006609F9" w:rsidP="00DB7B74">
            <w:pPr>
              <w:rPr>
                <w:lang w:eastAsia="en-GB"/>
              </w:rPr>
            </w:pPr>
            <w:r w:rsidRPr="00EA350A">
              <w:rPr>
                <w:lang w:eastAsia="en-GB"/>
              </w:rPr>
              <w:sym w:font="Symbol" w:char="F0B7"/>
            </w:r>
            <w:r w:rsidRPr="00EA350A">
              <w:rPr>
                <w:lang w:eastAsia="en-GB"/>
              </w:rPr>
              <w:t xml:space="preserve"> Full, clean driver’s licence with business insurance</w:t>
            </w:r>
          </w:p>
          <w:p w14:paraId="17934FE2" w14:textId="4BFBC797" w:rsidR="00017220" w:rsidRPr="00EA350A" w:rsidRDefault="00017220" w:rsidP="00DB7B74">
            <w:r w:rsidRPr="00EA350A">
              <w:t>• Ability to travel between sites as required</w:t>
            </w:r>
          </w:p>
          <w:p w14:paraId="7DDEDEB8" w14:textId="184EA7AB" w:rsidR="000104C7" w:rsidRPr="00EA350A" w:rsidRDefault="000104C7" w:rsidP="00FC4220">
            <w:pPr>
              <w:pStyle w:val="ListParagraph"/>
            </w:pPr>
          </w:p>
        </w:tc>
        <w:tc>
          <w:tcPr>
            <w:tcW w:w="4111" w:type="dxa"/>
          </w:tcPr>
          <w:p w14:paraId="6A133C1E" w14:textId="6136D7A3" w:rsidR="00BF0061" w:rsidRPr="00EA350A" w:rsidRDefault="00BF0061" w:rsidP="00FC4220">
            <w:pPr>
              <w:pStyle w:val="ListParagraph"/>
            </w:pPr>
          </w:p>
        </w:tc>
      </w:tr>
    </w:tbl>
    <w:p w14:paraId="654FF4BF" w14:textId="77777777" w:rsidR="0074246F" w:rsidRDefault="0074246F"/>
    <w:p w14:paraId="21574F9E" w14:textId="69E82FE0" w:rsidR="001621C4" w:rsidRDefault="0074452E">
      <w:r>
        <w:t xml:space="preserve">All staff within </w:t>
      </w:r>
      <w:proofErr w:type="spellStart"/>
      <w:r>
        <w:t>Muve</w:t>
      </w:r>
      <w:proofErr w:type="spellEnd"/>
      <w:r>
        <w:t xml:space="preserve"> Futures are expected to</w:t>
      </w:r>
      <w:r w:rsidRPr="0074452E">
        <w:t xml:space="preserve"> promote and safeguard the welfare of children and young pe</w:t>
      </w:r>
      <w:r>
        <w:t>ople</w:t>
      </w:r>
      <w:r w:rsidRPr="0074452E">
        <w:t xml:space="preserve"> you are responsible for, or </w:t>
      </w:r>
      <w:proofErr w:type="gramStart"/>
      <w:r w:rsidRPr="0074452E">
        <w:t>come into contact with</w:t>
      </w:r>
      <w:proofErr w:type="gramEnd"/>
      <w:r w:rsidRPr="0074452E">
        <w:t xml:space="preserve">, in accordance with </w:t>
      </w:r>
      <w:r>
        <w:t>our</w:t>
      </w:r>
      <w:r w:rsidRPr="0074452E">
        <w:t xml:space="preserve"> Safeguarding Policies</w:t>
      </w:r>
      <w:r>
        <w:t>.</w:t>
      </w:r>
    </w:p>
    <w:p w14:paraId="05350EBB" w14:textId="77777777" w:rsidR="0074452E" w:rsidRDefault="0074452E"/>
    <w:sectPr w:rsidR="0074452E" w:rsidSect="00660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7AB"/>
    <w:multiLevelType w:val="multilevel"/>
    <w:tmpl w:val="62F8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B7637"/>
    <w:multiLevelType w:val="hybridMultilevel"/>
    <w:tmpl w:val="C5B42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4663"/>
    <w:multiLevelType w:val="multilevel"/>
    <w:tmpl w:val="1996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117936"/>
    <w:multiLevelType w:val="multilevel"/>
    <w:tmpl w:val="B364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35897"/>
    <w:multiLevelType w:val="multilevel"/>
    <w:tmpl w:val="D3CC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9735E9"/>
    <w:multiLevelType w:val="multilevel"/>
    <w:tmpl w:val="E79A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B003DF"/>
    <w:multiLevelType w:val="multilevel"/>
    <w:tmpl w:val="5718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FE1467"/>
    <w:multiLevelType w:val="hybridMultilevel"/>
    <w:tmpl w:val="2A403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C679F"/>
    <w:multiLevelType w:val="hybridMultilevel"/>
    <w:tmpl w:val="386E2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823EE"/>
    <w:multiLevelType w:val="multilevel"/>
    <w:tmpl w:val="5532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5A5ADE"/>
    <w:multiLevelType w:val="multilevel"/>
    <w:tmpl w:val="94A8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1142543">
    <w:abstractNumId w:val="3"/>
  </w:num>
  <w:num w:numId="2" w16cid:durableId="1065646565">
    <w:abstractNumId w:val="4"/>
  </w:num>
  <w:num w:numId="3" w16cid:durableId="1442265421">
    <w:abstractNumId w:val="9"/>
  </w:num>
  <w:num w:numId="4" w16cid:durableId="505218553">
    <w:abstractNumId w:val="6"/>
  </w:num>
  <w:num w:numId="5" w16cid:durableId="697464706">
    <w:abstractNumId w:val="0"/>
  </w:num>
  <w:num w:numId="6" w16cid:durableId="1735658846">
    <w:abstractNumId w:val="2"/>
  </w:num>
  <w:num w:numId="7" w16cid:durableId="1585723850">
    <w:abstractNumId w:val="5"/>
  </w:num>
  <w:num w:numId="8" w16cid:durableId="526019466">
    <w:abstractNumId w:val="10"/>
  </w:num>
  <w:num w:numId="9" w16cid:durableId="45225633">
    <w:abstractNumId w:val="8"/>
  </w:num>
  <w:num w:numId="10" w16cid:durableId="1343513442">
    <w:abstractNumId w:val="1"/>
  </w:num>
  <w:num w:numId="11" w16cid:durableId="565993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6F"/>
    <w:rsid w:val="000104C7"/>
    <w:rsid w:val="00017220"/>
    <w:rsid w:val="000B5778"/>
    <w:rsid w:val="00110FB0"/>
    <w:rsid w:val="00124DB1"/>
    <w:rsid w:val="001621C4"/>
    <w:rsid w:val="001E7072"/>
    <w:rsid w:val="00231234"/>
    <w:rsid w:val="002B385F"/>
    <w:rsid w:val="002E752D"/>
    <w:rsid w:val="00512B47"/>
    <w:rsid w:val="00523944"/>
    <w:rsid w:val="00562C61"/>
    <w:rsid w:val="00654FCD"/>
    <w:rsid w:val="006609F9"/>
    <w:rsid w:val="00676177"/>
    <w:rsid w:val="006D5E10"/>
    <w:rsid w:val="0074246F"/>
    <w:rsid w:val="0074452E"/>
    <w:rsid w:val="007C4838"/>
    <w:rsid w:val="0089591D"/>
    <w:rsid w:val="009940E6"/>
    <w:rsid w:val="009A0FBE"/>
    <w:rsid w:val="009A1C8C"/>
    <w:rsid w:val="00BB5A43"/>
    <w:rsid w:val="00BD663B"/>
    <w:rsid w:val="00BF0061"/>
    <w:rsid w:val="00CA6C84"/>
    <w:rsid w:val="00D8549B"/>
    <w:rsid w:val="00DB7B74"/>
    <w:rsid w:val="00E83DD5"/>
    <w:rsid w:val="00EA350A"/>
    <w:rsid w:val="00F22254"/>
    <w:rsid w:val="00FC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2E7A"/>
  <w15:chartTrackingRefBased/>
  <w15:docId w15:val="{F7DFA6AE-F5F2-4103-BE86-5DB70AA2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C84"/>
  </w:style>
  <w:style w:type="paragraph" w:styleId="Heading1">
    <w:name w:val="heading 1"/>
    <w:basedOn w:val="Normal"/>
    <w:next w:val="Normal"/>
    <w:link w:val="Heading1Char"/>
    <w:uiPriority w:val="9"/>
    <w:qFormat/>
    <w:rsid w:val="00742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4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4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4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4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4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2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Richardson</dc:creator>
  <cp:keywords/>
  <dc:description/>
  <cp:lastModifiedBy>Rachel Hayward</cp:lastModifiedBy>
  <cp:revision>7</cp:revision>
  <dcterms:created xsi:type="dcterms:W3CDTF">2026-06-28T15:26:00Z</dcterms:created>
  <dcterms:modified xsi:type="dcterms:W3CDTF">2026-06-29T05:55:00Z</dcterms:modified>
</cp:coreProperties>
</file>