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E6DE" w14:textId="77777777" w:rsidR="00A86832" w:rsidRDefault="00A86832" w:rsidP="00A86832">
      <w:pPr>
        <w:jc w:val="center"/>
        <w:rPr>
          <w:b/>
          <w:bCs/>
        </w:rPr>
      </w:pPr>
      <w:r>
        <w:rPr>
          <w:b/>
          <w:bCs/>
          <w:noProof/>
        </w:rPr>
        <w:drawing>
          <wp:inline distT="0" distB="0" distL="0" distR="0" wp14:anchorId="13D45227" wp14:editId="343EA577">
            <wp:extent cx="1135380" cy="1135380"/>
            <wp:effectExtent l="0" t="0" r="7620" b="7620"/>
            <wp:docPr id="18701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1397" name="Picture 1870113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inline>
        </w:drawing>
      </w:r>
    </w:p>
    <w:p w14:paraId="3F7D8886" w14:textId="5C1888A2" w:rsidR="00A86832" w:rsidRPr="00A86832" w:rsidRDefault="00A86832" w:rsidP="00A86832">
      <w:pPr>
        <w:jc w:val="center"/>
        <w:rPr>
          <w:b/>
          <w:bCs/>
          <w:sz w:val="28"/>
          <w:szCs w:val="28"/>
        </w:rPr>
      </w:pPr>
      <w:r w:rsidRPr="00A86832">
        <w:rPr>
          <w:b/>
          <w:bCs/>
          <w:sz w:val="28"/>
          <w:szCs w:val="28"/>
        </w:rPr>
        <w:t>Job Description</w:t>
      </w:r>
      <w:r w:rsidRPr="00A86832">
        <w:rPr>
          <w:b/>
          <w:bCs/>
          <w:sz w:val="28"/>
          <w:szCs w:val="28"/>
        </w:rPr>
        <w:t>:</w:t>
      </w:r>
      <w:r w:rsidRPr="00A86832">
        <w:rPr>
          <w:b/>
          <w:bCs/>
          <w:sz w:val="28"/>
          <w:szCs w:val="28"/>
        </w:rPr>
        <w:t xml:space="preserve"> Special Educational Needs Coordinator (SENCO)</w:t>
      </w:r>
    </w:p>
    <w:p w14:paraId="4DEB607C" w14:textId="77777777" w:rsidR="00A86832" w:rsidRPr="00A86832" w:rsidRDefault="00A86832" w:rsidP="00A86832">
      <w:pPr>
        <w:rPr>
          <w:b/>
          <w:bCs/>
        </w:rPr>
      </w:pPr>
      <w:r w:rsidRPr="00A86832">
        <w:rPr>
          <w:b/>
          <w:bCs/>
        </w:rPr>
        <w:t>Purpose of the Role</w:t>
      </w:r>
    </w:p>
    <w:p w14:paraId="59E14CC9" w14:textId="77777777" w:rsidR="00A86832" w:rsidRPr="00A86832" w:rsidRDefault="00A86832" w:rsidP="00A86832">
      <w:r w:rsidRPr="00A86832">
        <w:t xml:space="preserve">To lead, coordinate and continually improve SEND practice across </w:t>
      </w:r>
      <w:proofErr w:type="spellStart"/>
      <w:r w:rsidRPr="00A86832">
        <w:t>Muve</w:t>
      </w:r>
      <w:proofErr w:type="spellEnd"/>
      <w:r w:rsidRPr="00A86832">
        <w:t xml:space="preserve"> Futures, ensuring children and young people aged 4–25 receive high-quality, personalised support that enables them to make meaningful progress in education, personal development, social engagement, employment pathways and independence.</w:t>
      </w:r>
    </w:p>
    <w:p w14:paraId="334BAFC2" w14:textId="77777777" w:rsidR="00A86832" w:rsidRPr="00A86832" w:rsidRDefault="00A86832" w:rsidP="00A86832">
      <w:r w:rsidRPr="00A86832">
        <w:t>The SENCO will provide strategic leadership for inclusion across our 52-week Alternative Provision, ensuring that SEND provision is outcome-focused, legally compliant and responsive to the diverse needs of learners accessing support in homes, schools, community settings and online.</w:t>
      </w:r>
    </w:p>
    <w:p w14:paraId="79A27F2A" w14:textId="1F7C0C1B" w:rsidR="00A86832" w:rsidRPr="00A86832" w:rsidRDefault="00A86832" w:rsidP="00A86832">
      <w:r w:rsidRPr="00A86832">
        <w:t xml:space="preserve">The postholder will work collaboratively with Regional Alternative Provision </w:t>
      </w:r>
      <w:r>
        <w:t>Leads</w:t>
      </w:r>
      <w:r w:rsidRPr="00A86832">
        <w:t xml:space="preserve">, </w:t>
      </w:r>
      <w:r>
        <w:t>t</w:t>
      </w:r>
      <w:r w:rsidRPr="00A86832">
        <w:t xml:space="preserve">utors, </w:t>
      </w:r>
      <w:r>
        <w:t>therapists</w:t>
      </w:r>
      <w:r w:rsidRPr="00A86832">
        <w:t>, families, local authorities and external professionals to remove barriers to learning and promote positive destinations for every learner.</w:t>
      </w:r>
    </w:p>
    <w:p w14:paraId="5C3FC638" w14:textId="77777777" w:rsidR="00173195" w:rsidRPr="00173195" w:rsidRDefault="00173195" w:rsidP="00173195">
      <w:pPr>
        <w:rPr>
          <w:b/>
          <w:bCs/>
        </w:rPr>
      </w:pPr>
      <w:r w:rsidRPr="00173195">
        <w:rPr>
          <w:b/>
          <w:bCs/>
        </w:rPr>
        <w:t>Key Responsibilities</w:t>
      </w:r>
    </w:p>
    <w:p w14:paraId="15A43913" w14:textId="77777777" w:rsidR="00173195" w:rsidRPr="00173195" w:rsidRDefault="00173195" w:rsidP="00173195">
      <w:pPr>
        <w:rPr>
          <w:b/>
          <w:bCs/>
        </w:rPr>
      </w:pPr>
      <w:r w:rsidRPr="00173195">
        <w:rPr>
          <w:b/>
          <w:bCs/>
        </w:rPr>
        <w:t>Strategic SEND Leadership</w:t>
      </w:r>
    </w:p>
    <w:p w14:paraId="582E4280" w14:textId="77777777" w:rsidR="00173195" w:rsidRPr="00173195" w:rsidRDefault="00173195" w:rsidP="00173195">
      <w:pPr>
        <w:numPr>
          <w:ilvl w:val="0"/>
          <w:numId w:val="10"/>
        </w:numPr>
        <w:spacing w:after="0"/>
      </w:pPr>
      <w:r w:rsidRPr="00173195">
        <w:t xml:space="preserve">Lead the strategic development and continuous improvement of SEND provision across </w:t>
      </w:r>
      <w:proofErr w:type="spellStart"/>
      <w:r w:rsidRPr="00173195">
        <w:t>Muve</w:t>
      </w:r>
      <w:proofErr w:type="spellEnd"/>
      <w:r w:rsidRPr="00173195">
        <w:t xml:space="preserve"> Futures. </w:t>
      </w:r>
    </w:p>
    <w:p w14:paraId="01BA15F9" w14:textId="77777777" w:rsidR="00173195" w:rsidRPr="00173195" w:rsidRDefault="00173195" w:rsidP="00173195">
      <w:pPr>
        <w:numPr>
          <w:ilvl w:val="0"/>
          <w:numId w:val="10"/>
        </w:numPr>
        <w:spacing w:after="0"/>
      </w:pPr>
      <w:r w:rsidRPr="00173195">
        <w:t xml:space="preserve">Promote a culture of inclusion, high expectations and personalised support for all learners. </w:t>
      </w:r>
    </w:p>
    <w:p w14:paraId="5AE9B365" w14:textId="77777777" w:rsidR="00173195" w:rsidRPr="00173195" w:rsidRDefault="00173195" w:rsidP="00173195">
      <w:pPr>
        <w:numPr>
          <w:ilvl w:val="0"/>
          <w:numId w:val="10"/>
        </w:numPr>
        <w:spacing w:after="0"/>
      </w:pPr>
      <w:r w:rsidRPr="00173195">
        <w:t xml:space="preserve">Ensure SEND practice reflects the organisation’s vision for time-limited, progress-led Alternative Provision. </w:t>
      </w:r>
    </w:p>
    <w:p w14:paraId="5293FD8A" w14:textId="77777777" w:rsidR="00173195" w:rsidRPr="00173195" w:rsidRDefault="00173195" w:rsidP="00173195">
      <w:pPr>
        <w:numPr>
          <w:ilvl w:val="0"/>
          <w:numId w:val="10"/>
        </w:numPr>
        <w:spacing w:after="0"/>
      </w:pPr>
      <w:r w:rsidRPr="00173195">
        <w:t xml:space="preserve">Monitor the quality, consistency and impact of SEND provision across all delivery models. </w:t>
      </w:r>
    </w:p>
    <w:p w14:paraId="12726B6E" w14:textId="77777777" w:rsidR="00173195" w:rsidRPr="00173195" w:rsidRDefault="00173195" w:rsidP="00173195">
      <w:pPr>
        <w:numPr>
          <w:ilvl w:val="0"/>
          <w:numId w:val="10"/>
        </w:numPr>
        <w:spacing w:after="0"/>
      </w:pPr>
      <w:r w:rsidRPr="00173195">
        <w:t xml:space="preserve">Analyse learner progress, engagement, attendance and destination data to inform service improvement. </w:t>
      </w:r>
    </w:p>
    <w:p w14:paraId="4A901BB3" w14:textId="77777777" w:rsidR="00173195" w:rsidRDefault="00173195" w:rsidP="00173195">
      <w:pPr>
        <w:numPr>
          <w:ilvl w:val="0"/>
          <w:numId w:val="10"/>
        </w:numPr>
        <w:spacing w:after="0"/>
      </w:pPr>
      <w:r w:rsidRPr="00173195">
        <w:t xml:space="preserve">Contribute to organisational policies, procedures and quality assurance relating to SEND and inclusion. </w:t>
      </w:r>
    </w:p>
    <w:p w14:paraId="61F60ADA" w14:textId="77777777" w:rsidR="00173195" w:rsidRPr="00173195" w:rsidRDefault="00173195" w:rsidP="00173195">
      <w:pPr>
        <w:spacing w:after="0"/>
        <w:ind w:left="720"/>
      </w:pPr>
    </w:p>
    <w:p w14:paraId="15837979" w14:textId="77777777" w:rsidR="00173195" w:rsidRPr="00173195" w:rsidRDefault="00173195" w:rsidP="00173195">
      <w:pPr>
        <w:rPr>
          <w:b/>
          <w:bCs/>
        </w:rPr>
      </w:pPr>
      <w:r w:rsidRPr="00173195">
        <w:rPr>
          <w:b/>
          <w:bCs/>
        </w:rPr>
        <w:t>Identification, Assessment and Planning</w:t>
      </w:r>
    </w:p>
    <w:p w14:paraId="6FD7C975" w14:textId="77777777" w:rsidR="00173195" w:rsidRPr="00173195" w:rsidRDefault="00173195" w:rsidP="00173195">
      <w:pPr>
        <w:numPr>
          <w:ilvl w:val="0"/>
          <w:numId w:val="11"/>
        </w:numPr>
        <w:spacing w:after="0"/>
      </w:pPr>
      <w:r w:rsidRPr="00173195">
        <w:t xml:space="preserve">Provide strategic oversight of the SEND aspects of the referrals process, reviewing EHCPs, professional reports and referral information to advise on suitability, reasonable adjustments and the support required for successful outcomes. </w:t>
      </w:r>
    </w:p>
    <w:p w14:paraId="445877AD" w14:textId="77777777" w:rsidR="00173195" w:rsidRPr="00173195" w:rsidRDefault="00173195" w:rsidP="00173195">
      <w:pPr>
        <w:numPr>
          <w:ilvl w:val="0"/>
          <w:numId w:val="11"/>
        </w:numPr>
        <w:spacing w:after="0"/>
      </w:pPr>
      <w:r w:rsidRPr="00173195">
        <w:t xml:space="preserve">Coordinate the identification of learners with SEND and additional barriers to learning. </w:t>
      </w:r>
    </w:p>
    <w:p w14:paraId="10F41087" w14:textId="77777777" w:rsidR="00173195" w:rsidRPr="00173195" w:rsidRDefault="00173195" w:rsidP="00173195">
      <w:pPr>
        <w:numPr>
          <w:ilvl w:val="0"/>
          <w:numId w:val="11"/>
        </w:numPr>
        <w:spacing w:after="0"/>
      </w:pPr>
      <w:r w:rsidRPr="00173195">
        <w:t xml:space="preserve">Oversee the graduated response using the Assess–Plan–Do–Review cycle. </w:t>
      </w:r>
    </w:p>
    <w:p w14:paraId="7E2AB500" w14:textId="77777777" w:rsidR="00173195" w:rsidRPr="00173195" w:rsidRDefault="00173195" w:rsidP="00173195">
      <w:pPr>
        <w:numPr>
          <w:ilvl w:val="0"/>
          <w:numId w:val="11"/>
        </w:numPr>
        <w:spacing w:after="0"/>
      </w:pPr>
      <w:r w:rsidRPr="00173195">
        <w:t xml:space="preserve">Support the development and review of personalised learning plans and intervention strategies. </w:t>
      </w:r>
    </w:p>
    <w:p w14:paraId="476EB66A" w14:textId="77777777" w:rsidR="00173195" w:rsidRPr="00173195" w:rsidRDefault="00173195" w:rsidP="00173195">
      <w:pPr>
        <w:numPr>
          <w:ilvl w:val="0"/>
          <w:numId w:val="11"/>
        </w:numPr>
        <w:spacing w:after="0"/>
      </w:pPr>
      <w:r w:rsidRPr="00173195">
        <w:t xml:space="preserve">Maintain accurate and confidential SEND records. </w:t>
      </w:r>
    </w:p>
    <w:p w14:paraId="7D58CC42" w14:textId="77777777" w:rsidR="00173195" w:rsidRPr="00173195" w:rsidRDefault="00173195" w:rsidP="00173195">
      <w:pPr>
        <w:numPr>
          <w:ilvl w:val="0"/>
          <w:numId w:val="11"/>
        </w:numPr>
        <w:spacing w:after="0"/>
      </w:pPr>
      <w:r w:rsidRPr="00173195">
        <w:t xml:space="preserve">Coordinate referrals for specialist assessments where appropriate. </w:t>
      </w:r>
    </w:p>
    <w:p w14:paraId="52A0F251" w14:textId="77777777" w:rsidR="00173195" w:rsidRDefault="00173195" w:rsidP="00173195">
      <w:pPr>
        <w:numPr>
          <w:ilvl w:val="0"/>
          <w:numId w:val="11"/>
        </w:numPr>
        <w:spacing w:after="0"/>
      </w:pPr>
      <w:r w:rsidRPr="00173195">
        <w:lastRenderedPageBreak/>
        <w:t xml:space="preserve">Lead or contribute to EHCP processes, including consultations, annual reviews and multi-agency planning. </w:t>
      </w:r>
    </w:p>
    <w:p w14:paraId="7704A0A9" w14:textId="77777777" w:rsidR="00173195" w:rsidRPr="00173195" w:rsidRDefault="00173195" w:rsidP="00173195">
      <w:pPr>
        <w:spacing w:after="0"/>
        <w:ind w:left="720"/>
      </w:pPr>
    </w:p>
    <w:p w14:paraId="037CEE76" w14:textId="77777777" w:rsidR="00173195" w:rsidRPr="00173195" w:rsidRDefault="00173195" w:rsidP="00173195">
      <w:pPr>
        <w:rPr>
          <w:b/>
          <w:bCs/>
        </w:rPr>
      </w:pPr>
      <w:r w:rsidRPr="00173195">
        <w:rPr>
          <w:b/>
          <w:bCs/>
        </w:rPr>
        <w:t>Inclusive Practice and Quality of Education</w:t>
      </w:r>
    </w:p>
    <w:p w14:paraId="6AD4E0F5" w14:textId="77777777" w:rsidR="00173195" w:rsidRPr="00173195" w:rsidRDefault="00173195" w:rsidP="00173195">
      <w:pPr>
        <w:numPr>
          <w:ilvl w:val="0"/>
          <w:numId w:val="12"/>
        </w:numPr>
        <w:spacing w:after="0"/>
      </w:pPr>
      <w:r w:rsidRPr="00173195">
        <w:t xml:space="preserve">Advise staff on inclusive teaching, reasonable adjustments and adaptive approaches. </w:t>
      </w:r>
    </w:p>
    <w:p w14:paraId="03C70AC6" w14:textId="77777777" w:rsidR="00173195" w:rsidRPr="00173195" w:rsidRDefault="00173195" w:rsidP="00173195">
      <w:pPr>
        <w:numPr>
          <w:ilvl w:val="0"/>
          <w:numId w:val="12"/>
        </w:numPr>
        <w:spacing w:after="0"/>
      </w:pPr>
      <w:r w:rsidRPr="00173195">
        <w:t xml:space="preserve">Support staff to meet a wide range of needs, including neurodiversity, SEMH, communication needs, sensory needs and learning difficulties. </w:t>
      </w:r>
    </w:p>
    <w:p w14:paraId="05F4F379" w14:textId="77777777" w:rsidR="00173195" w:rsidRPr="00173195" w:rsidRDefault="00173195" w:rsidP="00173195">
      <w:pPr>
        <w:numPr>
          <w:ilvl w:val="0"/>
          <w:numId w:val="12"/>
        </w:numPr>
        <w:spacing w:after="0"/>
      </w:pPr>
      <w:r w:rsidRPr="00173195">
        <w:t xml:space="preserve">Ensure interventions are evidence-informed, purposeful and linked to measurable outcomes. </w:t>
      </w:r>
    </w:p>
    <w:p w14:paraId="212D1C83" w14:textId="77777777" w:rsidR="00173195" w:rsidRDefault="00173195" w:rsidP="00173195">
      <w:pPr>
        <w:numPr>
          <w:ilvl w:val="0"/>
          <w:numId w:val="12"/>
        </w:numPr>
        <w:spacing w:after="0"/>
      </w:pPr>
      <w:r w:rsidRPr="00173195">
        <w:t xml:space="preserve">Promote approaches that enable learners to access education through flexible and non-traditional settings. </w:t>
      </w:r>
    </w:p>
    <w:p w14:paraId="44215C35" w14:textId="77777777" w:rsidR="00173195" w:rsidRPr="00173195" w:rsidRDefault="00173195" w:rsidP="00173195">
      <w:pPr>
        <w:spacing w:after="0"/>
      </w:pPr>
    </w:p>
    <w:p w14:paraId="5AAB7FDE" w14:textId="77777777" w:rsidR="00173195" w:rsidRPr="00173195" w:rsidRDefault="00173195" w:rsidP="00173195">
      <w:pPr>
        <w:rPr>
          <w:b/>
          <w:bCs/>
        </w:rPr>
      </w:pPr>
      <w:r w:rsidRPr="00173195">
        <w:rPr>
          <w:b/>
          <w:bCs/>
        </w:rPr>
        <w:t>Assistive Technology and Accessibility</w:t>
      </w:r>
    </w:p>
    <w:p w14:paraId="00553CEC" w14:textId="77777777" w:rsidR="00173195" w:rsidRPr="00173195" w:rsidRDefault="00173195" w:rsidP="00173195">
      <w:pPr>
        <w:numPr>
          <w:ilvl w:val="0"/>
          <w:numId w:val="13"/>
        </w:numPr>
        <w:spacing w:after="0"/>
      </w:pPr>
      <w:r w:rsidRPr="00173195">
        <w:t xml:space="preserve">Lead the effective use of assistive technology to remove barriers to learning and promote independence. </w:t>
      </w:r>
    </w:p>
    <w:p w14:paraId="610ED1F8" w14:textId="77777777" w:rsidR="00173195" w:rsidRPr="00173195" w:rsidRDefault="00173195" w:rsidP="00173195">
      <w:pPr>
        <w:numPr>
          <w:ilvl w:val="0"/>
          <w:numId w:val="13"/>
        </w:numPr>
        <w:spacing w:after="0"/>
      </w:pPr>
      <w:r w:rsidRPr="00173195">
        <w:t xml:space="preserve">Evaluate and recommend digital tools, software, adaptive equipment and accessible resources to meet individual learner needs. </w:t>
      </w:r>
    </w:p>
    <w:p w14:paraId="109A05B1" w14:textId="77777777" w:rsidR="00173195" w:rsidRPr="00173195" w:rsidRDefault="00173195" w:rsidP="00173195">
      <w:pPr>
        <w:numPr>
          <w:ilvl w:val="0"/>
          <w:numId w:val="13"/>
        </w:numPr>
        <w:spacing w:after="0"/>
      </w:pPr>
      <w:r w:rsidRPr="00173195">
        <w:t xml:space="preserve">Support staff to embed assistive technology into teaching and intervention practice. </w:t>
      </w:r>
    </w:p>
    <w:p w14:paraId="7FD91D0E" w14:textId="77777777" w:rsidR="00173195" w:rsidRDefault="00173195" w:rsidP="00173195">
      <w:pPr>
        <w:numPr>
          <w:ilvl w:val="0"/>
          <w:numId w:val="13"/>
        </w:numPr>
        <w:spacing w:after="0"/>
      </w:pPr>
      <w:r w:rsidRPr="00173195">
        <w:t xml:space="preserve">Keep up to date with developments in accessible technology and inclusive learning approaches. </w:t>
      </w:r>
    </w:p>
    <w:p w14:paraId="48A15F20" w14:textId="77777777" w:rsidR="00173195" w:rsidRPr="00173195" w:rsidRDefault="00173195" w:rsidP="00173195">
      <w:pPr>
        <w:spacing w:after="0"/>
        <w:ind w:left="720"/>
      </w:pPr>
    </w:p>
    <w:p w14:paraId="473CA669" w14:textId="359650CC" w:rsidR="00173195" w:rsidRPr="00173195" w:rsidRDefault="00173195" w:rsidP="00173195">
      <w:pPr>
        <w:rPr>
          <w:b/>
          <w:bCs/>
        </w:rPr>
      </w:pPr>
      <w:r w:rsidRPr="00173195">
        <w:rPr>
          <w:b/>
          <w:bCs/>
        </w:rPr>
        <w:t xml:space="preserve">Designated Teacher for Children </w:t>
      </w:r>
      <w:r>
        <w:rPr>
          <w:b/>
          <w:bCs/>
        </w:rPr>
        <w:t xml:space="preserve">who are </w:t>
      </w:r>
      <w:r w:rsidRPr="00173195">
        <w:rPr>
          <w:b/>
          <w:bCs/>
        </w:rPr>
        <w:t>Looked After</w:t>
      </w:r>
    </w:p>
    <w:p w14:paraId="7CC8DB97" w14:textId="1ADF6E90" w:rsidR="00173195" w:rsidRPr="00173195" w:rsidRDefault="00173195" w:rsidP="00173195">
      <w:pPr>
        <w:numPr>
          <w:ilvl w:val="0"/>
          <w:numId w:val="14"/>
        </w:numPr>
        <w:spacing w:after="0"/>
      </w:pPr>
      <w:r w:rsidRPr="00173195">
        <w:t xml:space="preserve">Act as the Designated Teacher for Children </w:t>
      </w:r>
      <w:r w:rsidRPr="00173195">
        <w:t xml:space="preserve">who are </w:t>
      </w:r>
      <w:r w:rsidRPr="00173195">
        <w:t xml:space="preserve">Looked After (CLA) and Previously Looked After Children </w:t>
      </w:r>
      <w:r w:rsidRPr="00173195">
        <w:t>(PLAC)</w:t>
      </w:r>
    </w:p>
    <w:p w14:paraId="409D1AB4" w14:textId="77777777" w:rsidR="00173195" w:rsidRPr="00173195" w:rsidRDefault="00173195" w:rsidP="00173195">
      <w:pPr>
        <w:numPr>
          <w:ilvl w:val="0"/>
          <w:numId w:val="14"/>
        </w:numPr>
        <w:spacing w:after="0"/>
      </w:pPr>
      <w:r w:rsidRPr="00173195">
        <w:t xml:space="preserve">Promote educational achievement, engagement and emotional wellbeing for children in care. </w:t>
      </w:r>
    </w:p>
    <w:p w14:paraId="66164620" w14:textId="77777777" w:rsidR="00173195" w:rsidRPr="00173195" w:rsidRDefault="00173195" w:rsidP="00173195">
      <w:pPr>
        <w:numPr>
          <w:ilvl w:val="0"/>
          <w:numId w:val="14"/>
        </w:numPr>
        <w:spacing w:after="0"/>
      </w:pPr>
      <w:r w:rsidRPr="00173195">
        <w:t xml:space="preserve">Contribute to Personal Education Plans (PEPs) and relevant review meetings. </w:t>
      </w:r>
    </w:p>
    <w:p w14:paraId="7F8D388D" w14:textId="77777777" w:rsidR="00173195" w:rsidRDefault="00173195" w:rsidP="00173195">
      <w:pPr>
        <w:numPr>
          <w:ilvl w:val="0"/>
          <w:numId w:val="14"/>
        </w:numPr>
        <w:spacing w:after="0"/>
      </w:pPr>
      <w:r w:rsidRPr="00173195">
        <w:t xml:space="preserve">Liaise with Virtual Schools, social workers, carers and other professionals to coordinate effective support. </w:t>
      </w:r>
    </w:p>
    <w:p w14:paraId="2F97FFDB" w14:textId="77777777" w:rsidR="00173195" w:rsidRPr="00173195" w:rsidRDefault="00173195" w:rsidP="00173195">
      <w:pPr>
        <w:spacing w:after="0"/>
      </w:pPr>
    </w:p>
    <w:p w14:paraId="67BF6DE2" w14:textId="77777777" w:rsidR="00173195" w:rsidRPr="00173195" w:rsidRDefault="00173195" w:rsidP="00173195">
      <w:pPr>
        <w:rPr>
          <w:b/>
          <w:bCs/>
        </w:rPr>
      </w:pPr>
      <w:r w:rsidRPr="00173195">
        <w:rPr>
          <w:b/>
          <w:bCs/>
        </w:rPr>
        <w:t>Staff Development and Professional Support</w:t>
      </w:r>
    </w:p>
    <w:p w14:paraId="35E77043" w14:textId="77777777" w:rsidR="00173195" w:rsidRPr="00173195" w:rsidRDefault="00173195" w:rsidP="00173195">
      <w:pPr>
        <w:numPr>
          <w:ilvl w:val="0"/>
          <w:numId w:val="15"/>
        </w:numPr>
        <w:spacing w:after="0"/>
      </w:pPr>
      <w:r w:rsidRPr="00173195">
        <w:t xml:space="preserve">Deliver training and professional development on SEND and inclusive practice. </w:t>
      </w:r>
    </w:p>
    <w:p w14:paraId="0ACA892B" w14:textId="77777777" w:rsidR="00173195" w:rsidRPr="00173195" w:rsidRDefault="00173195" w:rsidP="00173195">
      <w:pPr>
        <w:numPr>
          <w:ilvl w:val="0"/>
          <w:numId w:val="15"/>
        </w:numPr>
        <w:spacing w:after="0"/>
      </w:pPr>
      <w:r w:rsidRPr="00173195">
        <w:t xml:space="preserve">Coach and support staff to develop confidence in meeting diverse learner needs. </w:t>
      </w:r>
    </w:p>
    <w:p w14:paraId="16FCED66" w14:textId="77777777" w:rsidR="00173195" w:rsidRPr="00173195" w:rsidRDefault="00173195" w:rsidP="00173195">
      <w:pPr>
        <w:numPr>
          <w:ilvl w:val="0"/>
          <w:numId w:val="15"/>
        </w:numPr>
        <w:spacing w:after="0"/>
      </w:pPr>
      <w:r w:rsidRPr="00173195">
        <w:t xml:space="preserve">Promote awareness of neurodiversity, trauma-informed practice, communication needs and effective intervention strategies. </w:t>
      </w:r>
    </w:p>
    <w:p w14:paraId="002C0D11" w14:textId="77777777" w:rsidR="00173195" w:rsidRDefault="00173195" w:rsidP="00173195">
      <w:pPr>
        <w:numPr>
          <w:ilvl w:val="0"/>
          <w:numId w:val="15"/>
        </w:numPr>
        <w:spacing w:after="0"/>
      </w:pPr>
      <w:r w:rsidRPr="00173195">
        <w:t xml:space="preserve">Share evidence-informed approaches and examples of effective practice across the organisation. </w:t>
      </w:r>
    </w:p>
    <w:p w14:paraId="1451430A" w14:textId="77777777" w:rsidR="00173195" w:rsidRPr="00173195" w:rsidRDefault="00173195" w:rsidP="00173195">
      <w:pPr>
        <w:spacing w:after="0"/>
      </w:pPr>
    </w:p>
    <w:p w14:paraId="34FE02B1" w14:textId="77777777" w:rsidR="00173195" w:rsidRPr="00173195" w:rsidRDefault="00173195" w:rsidP="00173195">
      <w:pPr>
        <w:rPr>
          <w:b/>
          <w:bCs/>
        </w:rPr>
      </w:pPr>
      <w:r w:rsidRPr="00173195">
        <w:rPr>
          <w:b/>
          <w:bCs/>
        </w:rPr>
        <w:t>Partnership and Multi-Agency Working</w:t>
      </w:r>
    </w:p>
    <w:p w14:paraId="0FBA1F04" w14:textId="77777777" w:rsidR="00173195" w:rsidRPr="00173195" w:rsidRDefault="00173195" w:rsidP="00173195">
      <w:pPr>
        <w:numPr>
          <w:ilvl w:val="0"/>
          <w:numId w:val="16"/>
        </w:numPr>
        <w:spacing w:after="0"/>
      </w:pPr>
      <w:r w:rsidRPr="00173195">
        <w:t xml:space="preserve">Build positive relationships with families, carers, schools, local authorities and partner agencies. </w:t>
      </w:r>
    </w:p>
    <w:p w14:paraId="72448EBA" w14:textId="77777777" w:rsidR="00173195" w:rsidRPr="00173195" w:rsidRDefault="00173195" w:rsidP="00173195">
      <w:pPr>
        <w:numPr>
          <w:ilvl w:val="0"/>
          <w:numId w:val="16"/>
        </w:numPr>
        <w:spacing w:after="0"/>
      </w:pPr>
      <w:r w:rsidRPr="00173195">
        <w:t xml:space="preserve">Liaise with Educational Psychologists, Speech and Language Therapists, Occupational Therapists, CAMHS and other professionals. </w:t>
      </w:r>
    </w:p>
    <w:p w14:paraId="4B247134" w14:textId="77777777" w:rsidR="00173195" w:rsidRPr="00173195" w:rsidRDefault="00173195" w:rsidP="00173195">
      <w:pPr>
        <w:numPr>
          <w:ilvl w:val="0"/>
          <w:numId w:val="16"/>
        </w:numPr>
        <w:spacing w:after="0"/>
      </w:pPr>
      <w:r w:rsidRPr="00173195">
        <w:t xml:space="preserve">Ensure a coordinated approach to supporting learners and removing barriers to progress. </w:t>
      </w:r>
    </w:p>
    <w:p w14:paraId="5017A6A4" w14:textId="77777777" w:rsidR="00173195" w:rsidRPr="00173195" w:rsidRDefault="00173195" w:rsidP="00173195">
      <w:pPr>
        <w:numPr>
          <w:ilvl w:val="0"/>
          <w:numId w:val="16"/>
        </w:numPr>
        <w:spacing w:after="0"/>
      </w:pPr>
      <w:r w:rsidRPr="00173195">
        <w:t xml:space="preserve">Represent </w:t>
      </w:r>
      <w:proofErr w:type="spellStart"/>
      <w:r w:rsidRPr="00173195">
        <w:t>Muve</w:t>
      </w:r>
      <w:proofErr w:type="spellEnd"/>
      <w:r w:rsidRPr="00173195">
        <w:t xml:space="preserve"> Futures in discussions relating to SEND provision and learner support. </w:t>
      </w:r>
    </w:p>
    <w:p w14:paraId="3660B7BF" w14:textId="77777777" w:rsidR="00173195" w:rsidRPr="00173195" w:rsidRDefault="00173195" w:rsidP="00173195">
      <w:pPr>
        <w:rPr>
          <w:b/>
          <w:bCs/>
        </w:rPr>
      </w:pPr>
      <w:r w:rsidRPr="00173195">
        <w:rPr>
          <w:b/>
          <w:bCs/>
        </w:rPr>
        <w:lastRenderedPageBreak/>
        <w:t>Compliance and Safeguarding</w:t>
      </w:r>
    </w:p>
    <w:p w14:paraId="3775EFE1" w14:textId="77777777" w:rsidR="00173195" w:rsidRPr="00173195" w:rsidRDefault="00173195" w:rsidP="00173195">
      <w:pPr>
        <w:numPr>
          <w:ilvl w:val="0"/>
          <w:numId w:val="17"/>
        </w:numPr>
        <w:spacing w:after="0"/>
      </w:pPr>
      <w:r w:rsidRPr="00173195">
        <w:t xml:space="preserve">Ensure SEND provision is delivered in line with relevant legislation and guidance, including: </w:t>
      </w:r>
    </w:p>
    <w:p w14:paraId="42806E3E" w14:textId="77777777" w:rsidR="00173195" w:rsidRPr="00173195" w:rsidRDefault="00173195" w:rsidP="00173195">
      <w:pPr>
        <w:numPr>
          <w:ilvl w:val="1"/>
          <w:numId w:val="17"/>
        </w:numPr>
        <w:spacing w:after="0"/>
      </w:pPr>
      <w:r w:rsidRPr="00173195">
        <w:t xml:space="preserve">Children and Families Act 2014 </w:t>
      </w:r>
    </w:p>
    <w:p w14:paraId="541222C1" w14:textId="77777777" w:rsidR="00173195" w:rsidRPr="00173195" w:rsidRDefault="00173195" w:rsidP="00173195">
      <w:pPr>
        <w:numPr>
          <w:ilvl w:val="1"/>
          <w:numId w:val="17"/>
        </w:numPr>
        <w:spacing w:after="0"/>
      </w:pPr>
      <w:r w:rsidRPr="00173195">
        <w:t xml:space="preserve">SEND Code of Practice (2015) </w:t>
      </w:r>
    </w:p>
    <w:p w14:paraId="56CC24F9" w14:textId="77777777" w:rsidR="00173195" w:rsidRPr="00173195" w:rsidRDefault="00173195" w:rsidP="00173195">
      <w:pPr>
        <w:numPr>
          <w:ilvl w:val="1"/>
          <w:numId w:val="17"/>
        </w:numPr>
        <w:spacing w:after="0"/>
      </w:pPr>
      <w:r w:rsidRPr="00173195">
        <w:t xml:space="preserve">Equality Act 2010 </w:t>
      </w:r>
    </w:p>
    <w:p w14:paraId="70B33CA5" w14:textId="77777777" w:rsidR="00173195" w:rsidRPr="00173195" w:rsidRDefault="00173195" w:rsidP="00173195">
      <w:pPr>
        <w:numPr>
          <w:ilvl w:val="1"/>
          <w:numId w:val="17"/>
        </w:numPr>
        <w:spacing w:after="0"/>
      </w:pPr>
      <w:r w:rsidRPr="00173195">
        <w:t xml:space="preserve">Keeping Children Safe in Education (current version) </w:t>
      </w:r>
    </w:p>
    <w:p w14:paraId="272A7E21" w14:textId="77777777" w:rsidR="00173195" w:rsidRPr="00173195" w:rsidRDefault="00173195" w:rsidP="00173195">
      <w:pPr>
        <w:numPr>
          <w:ilvl w:val="1"/>
          <w:numId w:val="17"/>
        </w:numPr>
        <w:spacing w:after="0"/>
      </w:pPr>
      <w:r w:rsidRPr="00173195">
        <w:t xml:space="preserve">Working Together to Safeguard Children </w:t>
      </w:r>
    </w:p>
    <w:p w14:paraId="243578F4" w14:textId="77777777" w:rsidR="00173195" w:rsidRPr="00173195" w:rsidRDefault="00173195" w:rsidP="00173195">
      <w:pPr>
        <w:numPr>
          <w:ilvl w:val="0"/>
          <w:numId w:val="17"/>
        </w:numPr>
        <w:spacing w:after="0"/>
      </w:pPr>
      <w:r w:rsidRPr="00173195">
        <w:t xml:space="preserve">Maintain accurate documentation and records relating to SEND provision. </w:t>
      </w:r>
    </w:p>
    <w:p w14:paraId="326DEEA0" w14:textId="77777777" w:rsidR="00173195" w:rsidRPr="00173195" w:rsidRDefault="00173195" w:rsidP="00173195">
      <w:pPr>
        <w:numPr>
          <w:ilvl w:val="0"/>
          <w:numId w:val="17"/>
        </w:numPr>
        <w:spacing w:after="0"/>
      </w:pPr>
      <w:r w:rsidRPr="00173195">
        <w:t xml:space="preserve">Produce reports and information as required. </w:t>
      </w:r>
    </w:p>
    <w:p w14:paraId="3E683CA1" w14:textId="77777777" w:rsidR="00173195" w:rsidRPr="00173195" w:rsidRDefault="00173195" w:rsidP="00173195">
      <w:pPr>
        <w:numPr>
          <w:ilvl w:val="0"/>
          <w:numId w:val="17"/>
        </w:numPr>
        <w:spacing w:after="0"/>
      </w:pPr>
      <w:r w:rsidRPr="00173195">
        <w:t xml:space="preserve">Promote safeguarding, learner wellbeing and inclusive practice. </w:t>
      </w:r>
    </w:p>
    <w:p w14:paraId="3FEAB16C" w14:textId="77777777" w:rsidR="00173195" w:rsidRDefault="00173195" w:rsidP="00173195">
      <w:pPr>
        <w:numPr>
          <w:ilvl w:val="0"/>
          <w:numId w:val="17"/>
        </w:numPr>
        <w:spacing w:after="0"/>
      </w:pPr>
      <w:r w:rsidRPr="00173195">
        <w:t xml:space="preserve">Report safeguarding concerns promptly and work closely with the Designated Safeguarding Lead (DSL). </w:t>
      </w:r>
    </w:p>
    <w:p w14:paraId="78C87495" w14:textId="77777777" w:rsidR="00173195" w:rsidRPr="00173195" w:rsidRDefault="00173195" w:rsidP="00173195">
      <w:pPr>
        <w:spacing w:after="0"/>
      </w:pPr>
    </w:p>
    <w:p w14:paraId="29A55A45" w14:textId="77777777" w:rsidR="00173195" w:rsidRPr="00173195" w:rsidRDefault="00173195" w:rsidP="00173195">
      <w:pPr>
        <w:rPr>
          <w:b/>
          <w:bCs/>
        </w:rPr>
      </w:pPr>
      <w:r w:rsidRPr="00173195">
        <w:rPr>
          <w:b/>
          <w:bCs/>
        </w:rPr>
        <w:t>Additional Responsibilities</w:t>
      </w:r>
    </w:p>
    <w:p w14:paraId="4784E155" w14:textId="77777777" w:rsidR="00173195" w:rsidRPr="00173195" w:rsidRDefault="00173195" w:rsidP="00173195">
      <w:pPr>
        <w:numPr>
          <w:ilvl w:val="0"/>
          <w:numId w:val="18"/>
        </w:numPr>
        <w:spacing w:after="0"/>
      </w:pPr>
      <w:r w:rsidRPr="00173195">
        <w:t xml:space="preserve">Contribute to the ongoing development of </w:t>
      </w:r>
      <w:proofErr w:type="spellStart"/>
      <w:r w:rsidRPr="00173195">
        <w:t>Muve</w:t>
      </w:r>
      <w:proofErr w:type="spellEnd"/>
      <w:r w:rsidRPr="00173195">
        <w:t xml:space="preserve"> Futures as an innovative and high-quality Alternative Provision. </w:t>
      </w:r>
    </w:p>
    <w:p w14:paraId="4FC552AB" w14:textId="77777777" w:rsidR="00173195" w:rsidRPr="00173195" w:rsidRDefault="00173195" w:rsidP="00173195">
      <w:pPr>
        <w:numPr>
          <w:ilvl w:val="0"/>
          <w:numId w:val="18"/>
        </w:numPr>
        <w:spacing w:after="0"/>
      </w:pPr>
      <w:r w:rsidRPr="00173195">
        <w:t xml:space="preserve">Support transitions into, within and beyond </w:t>
      </w:r>
      <w:proofErr w:type="spellStart"/>
      <w:r w:rsidRPr="00173195">
        <w:t>Muve</w:t>
      </w:r>
      <w:proofErr w:type="spellEnd"/>
      <w:r w:rsidRPr="00173195">
        <w:t xml:space="preserve"> Futures. </w:t>
      </w:r>
    </w:p>
    <w:p w14:paraId="60014D53" w14:textId="77777777" w:rsidR="00173195" w:rsidRPr="00173195" w:rsidRDefault="00173195" w:rsidP="00173195">
      <w:pPr>
        <w:numPr>
          <w:ilvl w:val="0"/>
          <w:numId w:val="18"/>
        </w:numPr>
        <w:spacing w:after="0"/>
      </w:pPr>
      <w:r w:rsidRPr="00173195">
        <w:t xml:space="preserve">Monitor SEND funding and resource allocation where applicable. </w:t>
      </w:r>
    </w:p>
    <w:p w14:paraId="2D0055E0" w14:textId="77777777" w:rsidR="00173195" w:rsidRPr="00173195" w:rsidRDefault="00173195" w:rsidP="00173195">
      <w:pPr>
        <w:numPr>
          <w:ilvl w:val="0"/>
          <w:numId w:val="18"/>
        </w:numPr>
        <w:spacing w:after="0"/>
      </w:pPr>
      <w:r w:rsidRPr="00173195">
        <w:t xml:space="preserve">Promote positive destinations, including reintegration, further education, employment, training and greater independence. </w:t>
      </w:r>
    </w:p>
    <w:p w14:paraId="00EB3B5C" w14:textId="77777777" w:rsidR="00173195" w:rsidRDefault="00173195" w:rsidP="00173195">
      <w:pPr>
        <w:numPr>
          <w:ilvl w:val="0"/>
          <w:numId w:val="18"/>
        </w:numPr>
        <w:spacing w:after="0"/>
      </w:pPr>
      <w:r w:rsidRPr="00173195">
        <w:t xml:space="preserve">Undertake travel as required to fulfil the responsibilities of the role, including attending meetings, supporting staff and engaging with learners and partners. </w:t>
      </w:r>
    </w:p>
    <w:p w14:paraId="15C7171C" w14:textId="77777777" w:rsidR="00173195" w:rsidRPr="00173195" w:rsidRDefault="00173195" w:rsidP="00173195">
      <w:pPr>
        <w:spacing w:after="0"/>
      </w:pPr>
    </w:p>
    <w:p w14:paraId="49FDEDA9" w14:textId="77777777" w:rsidR="00173195" w:rsidRDefault="00173195" w:rsidP="00173195">
      <w:pPr>
        <w:rPr>
          <w:i/>
          <w:iCs/>
        </w:rPr>
      </w:pPr>
      <w:r w:rsidRPr="00173195">
        <w:rPr>
          <w:i/>
          <w:iCs/>
        </w:rPr>
        <w:t xml:space="preserve">This job description is not exhaustive and may be reviewed and amended from time to time to reflect the changing needs and priorities of </w:t>
      </w:r>
      <w:proofErr w:type="spellStart"/>
      <w:r w:rsidRPr="00173195">
        <w:rPr>
          <w:i/>
          <w:iCs/>
        </w:rPr>
        <w:t>Muve</w:t>
      </w:r>
      <w:proofErr w:type="spellEnd"/>
      <w:r w:rsidRPr="00173195">
        <w:rPr>
          <w:i/>
          <w:iCs/>
        </w:rPr>
        <w:t xml:space="preserve"> Futures. The postholder may be required to undertake other reasonable duties commensurate with the role.</w:t>
      </w:r>
    </w:p>
    <w:p w14:paraId="6DA56C60" w14:textId="77777777" w:rsidR="00845F85" w:rsidRDefault="00845F85" w:rsidP="00173195">
      <w:pPr>
        <w:rPr>
          <w:i/>
          <w:iCs/>
        </w:rPr>
      </w:pPr>
    </w:p>
    <w:p w14:paraId="507AD233" w14:textId="5962C680" w:rsidR="00845F85" w:rsidRDefault="00845F85" w:rsidP="00173195">
      <w:r>
        <w:t>Rachel Hayward</w:t>
      </w:r>
    </w:p>
    <w:p w14:paraId="0C5A7143" w14:textId="1232B1B4" w:rsidR="00845F85" w:rsidRDefault="00845F85" w:rsidP="00173195">
      <w:r>
        <w:t>Director of Alternative Provision</w:t>
      </w:r>
    </w:p>
    <w:p w14:paraId="3C46D1AB" w14:textId="580D52EA" w:rsidR="00845F85" w:rsidRPr="00845F85" w:rsidRDefault="00845F85" w:rsidP="00173195">
      <w:r>
        <w:t>July 2024</w:t>
      </w:r>
    </w:p>
    <w:p w14:paraId="2061371C" w14:textId="77777777" w:rsidR="00406FEC" w:rsidRDefault="00406FEC" w:rsidP="00173195"/>
    <w:sectPr w:rsidR="00406FEC" w:rsidSect="00A868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B25"/>
    <w:multiLevelType w:val="multilevel"/>
    <w:tmpl w:val="773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18DD"/>
    <w:multiLevelType w:val="multilevel"/>
    <w:tmpl w:val="3C0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43F4E"/>
    <w:multiLevelType w:val="multilevel"/>
    <w:tmpl w:val="CB1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F3024"/>
    <w:multiLevelType w:val="multilevel"/>
    <w:tmpl w:val="28CE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67AF"/>
    <w:multiLevelType w:val="multilevel"/>
    <w:tmpl w:val="EAF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B2B54"/>
    <w:multiLevelType w:val="multilevel"/>
    <w:tmpl w:val="BD0A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21CDE"/>
    <w:multiLevelType w:val="multilevel"/>
    <w:tmpl w:val="640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2445A"/>
    <w:multiLevelType w:val="multilevel"/>
    <w:tmpl w:val="E04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330F9"/>
    <w:multiLevelType w:val="multilevel"/>
    <w:tmpl w:val="ED5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83541"/>
    <w:multiLevelType w:val="multilevel"/>
    <w:tmpl w:val="668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F48D5"/>
    <w:multiLevelType w:val="multilevel"/>
    <w:tmpl w:val="9E36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B0634"/>
    <w:multiLevelType w:val="multilevel"/>
    <w:tmpl w:val="3064B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22742"/>
    <w:multiLevelType w:val="multilevel"/>
    <w:tmpl w:val="75C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4586C"/>
    <w:multiLevelType w:val="multilevel"/>
    <w:tmpl w:val="BD46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1A0408"/>
    <w:multiLevelType w:val="multilevel"/>
    <w:tmpl w:val="C57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252E3"/>
    <w:multiLevelType w:val="multilevel"/>
    <w:tmpl w:val="0AC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E599C"/>
    <w:multiLevelType w:val="multilevel"/>
    <w:tmpl w:val="D72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D65A3"/>
    <w:multiLevelType w:val="multilevel"/>
    <w:tmpl w:val="B62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33042">
    <w:abstractNumId w:val="8"/>
  </w:num>
  <w:num w:numId="2" w16cid:durableId="1271356699">
    <w:abstractNumId w:val="7"/>
  </w:num>
  <w:num w:numId="3" w16cid:durableId="1836534634">
    <w:abstractNumId w:val="9"/>
  </w:num>
  <w:num w:numId="4" w16cid:durableId="1002590646">
    <w:abstractNumId w:val="17"/>
  </w:num>
  <w:num w:numId="5" w16cid:durableId="1020009790">
    <w:abstractNumId w:val="1"/>
  </w:num>
  <w:num w:numId="6" w16cid:durableId="1432505175">
    <w:abstractNumId w:val="5"/>
  </w:num>
  <w:num w:numId="7" w16cid:durableId="813179626">
    <w:abstractNumId w:val="0"/>
  </w:num>
  <w:num w:numId="8" w16cid:durableId="238833901">
    <w:abstractNumId w:val="11"/>
  </w:num>
  <w:num w:numId="9" w16cid:durableId="1770003015">
    <w:abstractNumId w:val="12"/>
  </w:num>
  <w:num w:numId="10" w16cid:durableId="982126371">
    <w:abstractNumId w:val="4"/>
  </w:num>
  <w:num w:numId="11" w16cid:durableId="572160791">
    <w:abstractNumId w:val="16"/>
  </w:num>
  <w:num w:numId="12" w16cid:durableId="1825733460">
    <w:abstractNumId w:val="2"/>
  </w:num>
  <w:num w:numId="13" w16cid:durableId="943224676">
    <w:abstractNumId w:val="10"/>
  </w:num>
  <w:num w:numId="14" w16cid:durableId="1725327692">
    <w:abstractNumId w:val="6"/>
  </w:num>
  <w:num w:numId="15" w16cid:durableId="408624869">
    <w:abstractNumId w:val="14"/>
  </w:num>
  <w:num w:numId="16" w16cid:durableId="1492680068">
    <w:abstractNumId w:val="15"/>
  </w:num>
  <w:num w:numId="17" w16cid:durableId="109250582">
    <w:abstractNumId w:val="3"/>
  </w:num>
  <w:num w:numId="18" w16cid:durableId="1137647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32"/>
    <w:rsid w:val="00173195"/>
    <w:rsid w:val="001B2561"/>
    <w:rsid w:val="00406FEC"/>
    <w:rsid w:val="005B7B08"/>
    <w:rsid w:val="00845F85"/>
    <w:rsid w:val="00A86832"/>
    <w:rsid w:val="00F5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9CB3"/>
  <w15:chartTrackingRefBased/>
  <w15:docId w15:val="{3EABD4FC-43CF-488A-B52C-173B633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832"/>
    <w:rPr>
      <w:rFonts w:eastAsiaTheme="majorEastAsia" w:cstheme="majorBidi"/>
      <w:color w:val="272727" w:themeColor="text1" w:themeTint="D8"/>
    </w:rPr>
  </w:style>
  <w:style w:type="paragraph" w:styleId="Title">
    <w:name w:val="Title"/>
    <w:basedOn w:val="Normal"/>
    <w:next w:val="Normal"/>
    <w:link w:val="TitleChar"/>
    <w:uiPriority w:val="10"/>
    <w:qFormat/>
    <w:rsid w:val="00A86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832"/>
    <w:pPr>
      <w:spacing w:before="160"/>
      <w:jc w:val="center"/>
    </w:pPr>
    <w:rPr>
      <w:i/>
      <w:iCs/>
      <w:color w:val="404040" w:themeColor="text1" w:themeTint="BF"/>
    </w:rPr>
  </w:style>
  <w:style w:type="character" w:customStyle="1" w:styleId="QuoteChar">
    <w:name w:val="Quote Char"/>
    <w:basedOn w:val="DefaultParagraphFont"/>
    <w:link w:val="Quote"/>
    <w:uiPriority w:val="29"/>
    <w:rsid w:val="00A86832"/>
    <w:rPr>
      <w:i/>
      <w:iCs/>
      <w:color w:val="404040" w:themeColor="text1" w:themeTint="BF"/>
    </w:rPr>
  </w:style>
  <w:style w:type="paragraph" w:styleId="ListParagraph">
    <w:name w:val="List Paragraph"/>
    <w:basedOn w:val="Normal"/>
    <w:uiPriority w:val="34"/>
    <w:qFormat/>
    <w:rsid w:val="00A86832"/>
    <w:pPr>
      <w:ind w:left="720"/>
      <w:contextualSpacing/>
    </w:pPr>
  </w:style>
  <w:style w:type="character" w:styleId="IntenseEmphasis">
    <w:name w:val="Intense Emphasis"/>
    <w:basedOn w:val="DefaultParagraphFont"/>
    <w:uiPriority w:val="21"/>
    <w:qFormat/>
    <w:rsid w:val="00A86832"/>
    <w:rPr>
      <w:i/>
      <w:iCs/>
      <w:color w:val="0F4761" w:themeColor="accent1" w:themeShade="BF"/>
    </w:rPr>
  </w:style>
  <w:style w:type="paragraph" w:styleId="IntenseQuote">
    <w:name w:val="Intense Quote"/>
    <w:basedOn w:val="Normal"/>
    <w:next w:val="Normal"/>
    <w:link w:val="IntenseQuoteChar"/>
    <w:uiPriority w:val="30"/>
    <w:qFormat/>
    <w:rsid w:val="00A86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832"/>
    <w:rPr>
      <w:i/>
      <w:iCs/>
      <w:color w:val="0F4761" w:themeColor="accent1" w:themeShade="BF"/>
    </w:rPr>
  </w:style>
  <w:style w:type="character" w:styleId="IntenseReference">
    <w:name w:val="Intense Reference"/>
    <w:basedOn w:val="DefaultParagraphFont"/>
    <w:uiPriority w:val="32"/>
    <w:qFormat/>
    <w:rsid w:val="00A86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Hayward</dc:creator>
  <cp:keywords/>
  <dc:description/>
  <cp:lastModifiedBy>Rachel Hayward</cp:lastModifiedBy>
  <cp:revision>2</cp:revision>
  <dcterms:created xsi:type="dcterms:W3CDTF">2026-07-17T07:24:00Z</dcterms:created>
  <dcterms:modified xsi:type="dcterms:W3CDTF">2026-07-17T07:44:00Z</dcterms:modified>
</cp:coreProperties>
</file>