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31" w:type="dxa"/>
        <w:tblLook w:val="04A0" w:firstRow="1" w:lastRow="0" w:firstColumn="1" w:lastColumn="0" w:noHBand="0" w:noVBand="1"/>
      </w:tblPr>
      <w:tblGrid>
        <w:gridCol w:w="2972"/>
        <w:gridCol w:w="7093"/>
      </w:tblGrid>
      <w:tr w:rsidR="009F12FA" w:rsidRPr="00221BA1" w14:paraId="118AD656" w14:textId="77777777" w:rsidTr="00221BA1">
        <w:tc>
          <w:tcPr>
            <w:tcW w:w="2972" w:type="dxa"/>
          </w:tcPr>
          <w:p w14:paraId="5402C8F9" w14:textId="77777777" w:rsidR="009F12FA" w:rsidRPr="00541291" w:rsidRDefault="009F12FA">
            <w:pPr>
              <w:rPr>
                <w:rFonts w:ascii="Aptos" w:hAnsi="Aptos"/>
                <w:b/>
                <w:bCs/>
              </w:rPr>
            </w:pPr>
            <w:r w:rsidRPr="00541291">
              <w:rPr>
                <w:rFonts w:ascii="Aptos" w:hAnsi="Aptos"/>
                <w:b/>
                <w:bCs/>
              </w:rPr>
              <w:t>Job Title</w:t>
            </w:r>
          </w:p>
          <w:p w14:paraId="2C86A6B6" w14:textId="77777777" w:rsidR="009F12FA" w:rsidRPr="00541291" w:rsidRDefault="009F12FA">
            <w:pPr>
              <w:rPr>
                <w:rFonts w:ascii="Aptos" w:hAnsi="Aptos"/>
                <w:b/>
                <w:bCs/>
              </w:rPr>
            </w:pPr>
          </w:p>
          <w:p w14:paraId="3F9B2149" w14:textId="77777777" w:rsidR="009F12FA" w:rsidRPr="00541291" w:rsidRDefault="009F12FA">
            <w:pPr>
              <w:rPr>
                <w:rFonts w:ascii="Aptos" w:hAnsi="Aptos"/>
                <w:b/>
                <w:bCs/>
              </w:rPr>
            </w:pPr>
            <w:r w:rsidRPr="00541291">
              <w:rPr>
                <w:rFonts w:ascii="Aptos" w:hAnsi="Aptos"/>
                <w:b/>
                <w:bCs/>
              </w:rPr>
              <w:t>Academy</w:t>
            </w:r>
          </w:p>
          <w:p w14:paraId="14350B75" w14:textId="77777777" w:rsidR="009F12FA" w:rsidRPr="00541291" w:rsidRDefault="009F12FA">
            <w:pPr>
              <w:rPr>
                <w:rFonts w:ascii="Aptos" w:hAnsi="Aptos"/>
                <w:b/>
                <w:bCs/>
              </w:rPr>
            </w:pPr>
          </w:p>
          <w:p w14:paraId="3BAD9053" w14:textId="77777777" w:rsidR="009F12FA" w:rsidRPr="00541291" w:rsidRDefault="009F12FA">
            <w:pPr>
              <w:rPr>
                <w:rFonts w:ascii="Aptos" w:hAnsi="Aptos"/>
                <w:b/>
                <w:bCs/>
              </w:rPr>
            </w:pPr>
            <w:r w:rsidRPr="00541291">
              <w:rPr>
                <w:rFonts w:ascii="Aptos" w:hAnsi="Aptos"/>
                <w:b/>
                <w:bCs/>
              </w:rPr>
              <w:t>Responsible to:</w:t>
            </w:r>
          </w:p>
          <w:p w14:paraId="21CBC296" w14:textId="77777777" w:rsidR="009F12FA" w:rsidRPr="00541291" w:rsidRDefault="009F12FA">
            <w:pPr>
              <w:rPr>
                <w:rFonts w:ascii="Aptos" w:hAnsi="Aptos"/>
                <w:b/>
                <w:bCs/>
              </w:rPr>
            </w:pPr>
          </w:p>
          <w:p w14:paraId="32A257C8" w14:textId="77777777" w:rsidR="009F12FA" w:rsidRPr="00541291" w:rsidRDefault="009F12FA">
            <w:pPr>
              <w:rPr>
                <w:rFonts w:ascii="Aptos" w:hAnsi="Aptos"/>
                <w:b/>
                <w:bCs/>
              </w:rPr>
            </w:pPr>
            <w:r w:rsidRPr="00541291">
              <w:rPr>
                <w:rFonts w:ascii="Aptos" w:hAnsi="Aptos"/>
                <w:b/>
                <w:bCs/>
              </w:rPr>
              <w:t>Salary Grade</w:t>
            </w:r>
          </w:p>
          <w:p w14:paraId="571BAEDF" w14:textId="77777777" w:rsidR="00937577" w:rsidRPr="00541291" w:rsidRDefault="00937577">
            <w:pPr>
              <w:rPr>
                <w:rFonts w:ascii="Aptos" w:hAnsi="Aptos"/>
                <w:b/>
                <w:bCs/>
              </w:rPr>
            </w:pPr>
          </w:p>
          <w:p w14:paraId="745EF0FD" w14:textId="199713A3" w:rsidR="00937577" w:rsidRPr="00221BA1" w:rsidRDefault="00937577">
            <w:pPr>
              <w:rPr>
                <w:rFonts w:ascii="Century Gothic" w:hAnsi="Century Gothic"/>
              </w:rPr>
            </w:pPr>
            <w:r w:rsidRPr="00541291">
              <w:rPr>
                <w:rFonts w:ascii="Aptos" w:hAnsi="Aptos"/>
                <w:b/>
                <w:bCs/>
              </w:rPr>
              <w:t>Hours</w:t>
            </w:r>
          </w:p>
        </w:tc>
        <w:tc>
          <w:tcPr>
            <w:tcW w:w="7093" w:type="dxa"/>
          </w:tcPr>
          <w:p w14:paraId="7618EAF8" w14:textId="290BE32B" w:rsidR="009F12FA" w:rsidRPr="00541291" w:rsidRDefault="00937577">
            <w:pPr>
              <w:rPr>
                <w:rFonts w:ascii="Aptos" w:hAnsi="Aptos"/>
              </w:rPr>
            </w:pPr>
            <w:r w:rsidRPr="00541291">
              <w:rPr>
                <w:rFonts w:ascii="Aptos" w:hAnsi="Aptos"/>
              </w:rPr>
              <w:t xml:space="preserve">Behaviour Intervention </w:t>
            </w:r>
            <w:r w:rsidR="00F57D31" w:rsidRPr="00541291">
              <w:rPr>
                <w:rFonts w:ascii="Aptos" w:hAnsi="Aptos"/>
              </w:rPr>
              <w:t>&amp; Internal Suspension Support</w:t>
            </w:r>
          </w:p>
          <w:p w14:paraId="22103AAB" w14:textId="77777777" w:rsidR="009F12FA" w:rsidRPr="00541291" w:rsidRDefault="009F12FA">
            <w:pPr>
              <w:rPr>
                <w:rFonts w:ascii="Aptos" w:hAnsi="Aptos"/>
              </w:rPr>
            </w:pPr>
          </w:p>
          <w:p w14:paraId="3C4054D2" w14:textId="77777777" w:rsidR="009F12FA" w:rsidRPr="00541291" w:rsidRDefault="009F12FA">
            <w:pPr>
              <w:rPr>
                <w:rFonts w:ascii="Aptos" w:hAnsi="Aptos"/>
              </w:rPr>
            </w:pPr>
            <w:r w:rsidRPr="00541291">
              <w:rPr>
                <w:rFonts w:ascii="Aptos" w:hAnsi="Aptos"/>
              </w:rPr>
              <w:t>Ormiston Sudbury Academy</w:t>
            </w:r>
          </w:p>
          <w:p w14:paraId="0705BFDA" w14:textId="77777777" w:rsidR="009F12FA" w:rsidRPr="00541291" w:rsidRDefault="009F12FA">
            <w:pPr>
              <w:rPr>
                <w:rFonts w:ascii="Aptos" w:hAnsi="Aptos"/>
              </w:rPr>
            </w:pPr>
          </w:p>
          <w:p w14:paraId="54E973AB" w14:textId="1CC91E08" w:rsidR="009F12FA" w:rsidRPr="00541291" w:rsidRDefault="00866E02">
            <w:pPr>
              <w:rPr>
                <w:rFonts w:ascii="Aptos" w:hAnsi="Aptos"/>
              </w:rPr>
            </w:pPr>
            <w:r w:rsidRPr="00541291">
              <w:rPr>
                <w:rFonts w:ascii="Aptos" w:hAnsi="Aptos"/>
              </w:rPr>
              <w:t>Vice</w:t>
            </w:r>
            <w:r w:rsidR="009F12FA" w:rsidRPr="00541291">
              <w:rPr>
                <w:rFonts w:ascii="Aptos" w:hAnsi="Aptos"/>
              </w:rPr>
              <w:t xml:space="preserve"> Principal - Behaviour</w:t>
            </w:r>
          </w:p>
          <w:p w14:paraId="2482FCFA" w14:textId="77777777" w:rsidR="00937577" w:rsidRPr="00541291" w:rsidRDefault="00937577">
            <w:pPr>
              <w:rPr>
                <w:rFonts w:ascii="Aptos" w:hAnsi="Aptos"/>
              </w:rPr>
            </w:pPr>
          </w:p>
          <w:p w14:paraId="51FE2CF2" w14:textId="7FF68141" w:rsidR="009F12FA" w:rsidRPr="004F060F" w:rsidRDefault="00937577">
            <w:pPr>
              <w:rPr>
                <w:rFonts w:ascii="Aptos" w:hAnsi="Aptos"/>
              </w:rPr>
            </w:pPr>
            <w:r w:rsidRPr="004F060F">
              <w:rPr>
                <w:rFonts w:ascii="Aptos" w:hAnsi="Aptos"/>
              </w:rPr>
              <w:t>Grade 4 Point 11</w:t>
            </w:r>
            <w:r w:rsidR="0083069E" w:rsidRPr="004F060F">
              <w:rPr>
                <w:rFonts w:ascii="Aptos" w:hAnsi="Aptos"/>
              </w:rPr>
              <w:t xml:space="preserve"> </w:t>
            </w:r>
            <w:r w:rsidR="004F060F">
              <w:rPr>
                <w:rFonts w:ascii="Aptos" w:hAnsi="Aptos"/>
              </w:rPr>
              <w:t>–</w:t>
            </w:r>
            <w:r w:rsidR="0083069E" w:rsidRPr="004F060F">
              <w:rPr>
                <w:rFonts w:ascii="Aptos" w:hAnsi="Aptos"/>
              </w:rPr>
              <w:t xml:space="preserve"> </w:t>
            </w:r>
            <w:r w:rsidR="004F060F">
              <w:rPr>
                <w:rFonts w:ascii="Aptos" w:hAnsi="Aptos"/>
              </w:rPr>
              <w:t>Actual £22,897</w:t>
            </w:r>
          </w:p>
          <w:p w14:paraId="536A0321" w14:textId="77777777" w:rsidR="00A06796" w:rsidRPr="00541291" w:rsidRDefault="00A06796">
            <w:pPr>
              <w:rPr>
                <w:rFonts w:ascii="Aptos" w:hAnsi="Aptos"/>
                <w:highlight w:val="yellow"/>
              </w:rPr>
            </w:pPr>
          </w:p>
          <w:p w14:paraId="15FBFC63" w14:textId="3182F73A" w:rsidR="00A06796" w:rsidRPr="00541291" w:rsidRDefault="00A06796">
            <w:pPr>
              <w:rPr>
                <w:rFonts w:ascii="Aptos" w:hAnsi="Aptos"/>
              </w:rPr>
            </w:pPr>
            <w:r w:rsidRPr="00541291">
              <w:rPr>
                <w:rFonts w:ascii="Aptos" w:hAnsi="Aptos"/>
              </w:rPr>
              <w:t>3</w:t>
            </w:r>
            <w:r w:rsidR="001838FD" w:rsidRPr="00541291">
              <w:rPr>
                <w:rFonts w:ascii="Aptos" w:hAnsi="Aptos"/>
              </w:rPr>
              <w:t>5</w:t>
            </w:r>
            <w:r w:rsidRPr="00541291">
              <w:rPr>
                <w:rFonts w:ascii="Aptos" w:hAnsi="Aptos"/>
              </w:rPr>
              <w:t xml:space="preserve"> hour per week (8.30am – </w:t>
            </w:r>
            <w:r w:rsidR="00CC5A93" w:rsidRPr="00541291">
              <w:rPr>
                <w:rFonts w:ascii="Aptos" w:hAnsi="Aptos"/>
              </w:rPr>
              <w:t>4</w:t>
            </w:r>
            <w:r w:rsidRPr="00541291">
              <w:rPr>
                <w:rFonts w:ascii="Aptos" w:hAnsi="Aptos"/>
              </w:rPr>
              <w:t>pm)</w:t>
            </w:r>
          </w:p>
          <w:p w14:paraId="79501D8E" w14:textId="58B6FE6D" w:rsidR="00937577" w:rsidRPr="00221BA1" w:rsidRDefault="00937577">
            <w:pPr>
              <w:rPr>
                <w:rFonts w:ascii="Century Gothic" w:hAnsi="Century Gothic"/>
              </w:rPr>
            </w:pPr>
          </w:p>
        </w:tc>
      </w:tr>
    </w:tbl>
    <w:p w14:paraId="3285DC5A" w14:textId="77777777" w:rsidR="00221BA1" w:rsidRDefault="00221BA1"/>
    <w:tbl>
      <w:tblPr>
        <w:tblStyle w:val="TableGrid"/>
        <w:tblW w:w="10065" w:type="dxa"/>
        <w:tblInd w:w="-431" w:type="dxa"/>
        <w:tblLook w:val="04A0" w:firstRow="1" w:lastRow="0" w:firstColumn="1" w:lastColumn="0" w:noHBand="0" w:noVBand="1"/>
      </w:tblPr>
      <w:tblGrid>
        <w:gridCol w:w="10065"/>
      </w:tblGrid>
      <w:tr w:rsidR="009F12FA" w:rsidRPr="00221BA1" w14:paraId="623931B3" w14:textId="77777777" w:rsidTr="00221BA1">
        <w:tc>
          <w:tcPr>
            <w:tcW w:w="10065" w:type="dxa"/>
          </w:tcPr>
          <w:p w14:paraId="6511D2CD" w14:textId="77777777" w:rsidR="009F12FA" w:rsidRPr="00541291" w:rsidRDefault="009F12FA">
            <w:pPr>
              <w:rPr>
                <w:rFonts w:ascii="Aptos" w:hAnsi="Aptos"/>
                <w:b/>
                <w:bCs/>
              </w:rPr>
            </w:pPr>
            <w:r w:rsidRPr="00541291">
              <w:rPr>
                <w:rFonts w:ascii="Aptos" w:hAnsi="Aptos"/>
                <w:b/>
                <w:bCs/>
              </w:rPr>
              <w:t>Job Purpose:</w:t>
            </w:r>
          </w:p>
          <w:p w14:paraId="77D0E201" w14:textId="77777777" w:rsidR="009F12FA" w:rsidRPr="00221BA1" w:rsidRDefault="009F12FA">
            <w:pPr>
              <w:rPr>
                <w:rFonts w:ascii="Century Gothic" w:hAnsi="Century Gothic"/>
              </w:rPr>
            </w:pPr>
          </w:p>
          <w:p w14:paraId="6585A15C" w14:textId="03EED203" w:rsidR="009F12FA" w:rsidRPr="00541291" w:rsidRDefault="00937577" w:rsidP="00937577">
            <w:pPr>
              <w:rPr>
                <w:rFonts w:ascii="Aptos" w:hAnsi="Aptos"/>
              </w:rPr>
            </w:pPr>
            <w:r w:rsidRPr="00541291">
              <w:rPr>
                <w:rFonts w:ascii="Aptos" w:hAnsi="Aptos"/>
              </w:rPr>
              <w:t xml:space="preserve">In providing an education provision that enhances the Academy’s behaviour system and procedures, the </w:t>
            </w:r>
            <w:r w:rsidR="00A54B02" w:rsidRPr="00541291">
              <w:rPr>
                <w:rFonts w:ascii="Aptos" w:hAnsi="Aptos"/>
              </w:rPr>
              <w:t>candidate</w:t>
            </w:r>
            <w:r w:rsidRPr="00541291">
              <w:rPr>
                <w:rFonts w:ascii="Aptos" w:hAnsi="Aptos"/>
              </w:rPr>
              <w:t xml:space="preserve"> will support students, parents/carers and teachers to ensure there is a positive learning environment for all. </w:t>
            </w:r>
          </w:p>
          <w:p w14:paraId="682854B2" w14:textId="77777777" w:rsidR="00937577" w:rsidRPr="00541291" w:rsidRDefault="00937577" w:rsidP="00937577">
            <w:pPr>
              <w:rPr>
                <w:rFonts w:ascii="Aptos" w:hAnsi="Aptos"/>
              </w:rPr>
            </w:pPr>
          </w:p>
          <w:p w14:paraId="07E6676F" w14:textId="61BCD5BC" w:rsidR="00937577" w:rsidRPr="00541291" w:rsidRDefault="00937577" w:rsidP="00937577">
            <w:pPr>
              <w:rPr>
                <w:rFonts w:ascii="Aptos" w:hAnsi="Aptos"/>
              </w:rPr>
            </w:pPr>
            <w:r w:rsidRPr="00541291">
              <w:rPr>
                <w:rFonts w:ascii="Aptos" w:hAnsi="Aptos"/>
              </w:rPr>
              <w:t xml:space="preserve">Support students to ensure they follow all academy rules and </w:t>
            </w:r>
            <w:r w:rsidR="00A06796" w:rsidRPr="00541291">
              <w:rPr>
                <w:rFonts w:ascii="Aptos" w:hAnsi="Aptos"/>
              </w:rPr>
              <w:t xml:space="preserve">procedures, at all times, both in lesson, social times and when in </w:t>
            </w:r>
            <w:r w:rsidR="00866E02" w:rsidRPr="00541291">
              <w:rPr>
                <w:rFonts w:ascii="Aptos" w:hAnsi="Aptos"/>
              </w:rPr>
              <w:t>Internal Suspension Room (ISR)</w:t>
            </w:r>
            <w:r w:rsidR="00A06796" w:rsidRPr="00541291">
              <w:rPr>
                <w:rFonts w:ascii="Aptos" w:hAnsi="Aptos"/>
              </w:rPr>
              <w:t>.</w:t>
            </w:r>
          </w:p>
          <w:p w14:paraId="750D5086" w14:textId="77777777" w:rsidR="00A06796" w:rsidRPr="00541291" w:rsidRDefault="00A06796" w:rsidP="00937577">
            <w:pPr>
              <w:rPr>
                <w:rFonts w:ascii="Aptos" w:hAnsi="Aptos"/>
              </w:rPr>
            </w:pPr>
          </w:p>
          <w:p w14:paraId="7141F712" w14:textId="77777777" w:rsidR="00A06796" w:rsidRPr="00541291" w:rsidRDefault="00A06796" w:rsidP="00937577">
            <w:pPr>
              <w:rPr>
                <w:rFonts w:ascii="Aptos" w:hAnsi="Aptos"/>
              </w:rPr>
            </w:pPr>
            <w:r w:rsidRPr="00541291">
              <w:rPr>
                <w:rFonts w:ascii="Aptos" w:hAnsi="Aptos"/>
              </w:rPr>
              <w:t>In liaison with teachers, pastoral staff and SENCO address the need of the students to overcome barriers to learning both inside and outside of the academy, to ensure all students achieve their full potential.</w:t>
            </w:r>
          </w:p>
          <w:p w14:paraId="08F60C0E" w14:textId="28E9385A" w:rsidR="00A06796" w:rsidRPr="00221BA1" w:rsidRDefault="00A06796" w:rsidP="00937577">
            <w:pPr>
              <w:rPr>
                <w:rFonts w:ascii="Century Gothic" w:hAnsi="Century Gothic"/>
              </w:rPr>
            </w:pPr>
          </w:p>
        </w:tc>
      </w:tr>
    </w:tbl>
    <w:p w14:paraId="4D130DB5" w14:textId="77777777" w:rsidR="00221BA1" w:rsidRDefault="00221BA1"/>
    <w:tbl>
      <w:tblPr>
        <w:tblStyle w:val="TableGrid"/>
        <w:tblW w:w="10065" w:type="dxa"/>
        <w:tblInd w:w="-431" w:type="dxa"/>
        <w:tblLook w:val="04A0" w:firstRow="1" w:lastRow="0" w:firstColumn="1" w:lastColumn="0" w:noHBand="0" w:noVBand="1"/>
      </w:tblPr>
      <w:tblGrid>
        <w:gridCol w:w="10065"/>
      </w:tblGrid>
      <w:tr w:rsidR="009F12FA" w:rsidRPr="00541291" w14:paraId="619E2235" w14:textId="77777777" w:rsidTr="00221BA1">
        <w:tc>
          <w:tcPr>
            <w:tcW w:w="10065" w:type="dxa"/>
          </w:tcPr>
          <w:p w14:paraId="6FBDE1A2" w14:textId="77777777" w:rsidR="009F12FA" w:rsidRPr="00541291" w:rsidRDefault="009F12FA">
            <w:pPr>
              <w:rPr>
                <w:rFonts w:ascii="Aptos" w:hAnsi="Aptos"/>
                <w:b/>
                <w:bCs/>
              </w:rPr>
            </w:pPr>
            <w:r w:rsidRPr="00541291">
              <w:rPr>
                <w:rFonts w:ascii="Aptos" w:hAnsi="Aptos"/>
                <w:b/>
                <w:bCs/>
              </w:rPr>
              <w:t>Main Duties and Responsibilities:</w:t>
            </w:r>
          </w:p>
          <w:p w14:paraId="466B2C0B" w14:textId="77777777" w:rsidR="009F12FA" w:rsidRPr="00541291" w:rsidRDefault="009F12FA">
            <w:pPr>
              <w:rPr>
                <w:rFonts w:ascii="Aptos" w:hAnsi="Aptos"/>
              </w:rPr>
            </w:pPr>
          </w:p>
          <w:p w14:paraId="6CF8C503" w14:textId="3EFFC958" w:rsidR="00A06796" w:rsidRPr="00541291" w:rsidRDefault="005D3B00" w:rsidP="009F12FA">
            <w:pPr>
              <w:pStyle w:val="ListParagraph"/>
              <w:numPr>
                <w:ilvl w:val="0"/>
                <w:numId w:val="1"/>
              </w:numPr>
              <w:rPr>
                <w:rFonts w:ascii="Aptos" w:hAnsi="Aptos"/>
              </w:rPr>
            </w:pPr>
            <w:r w:rsidRPr="00541291">
              <w:rPr>
                <w:rFonts w:ascii="Aptos" w:hAnsi="Aptos"/>
              </w:rPr>
              <w:t>Attend identified lessons to support behaviour management of targeted students.</w:t>
            </w:r>
          </w:p>
          <w:p w14:paraId="1522D009" w14:textId="5BD06093" w:rsidR="005D3B00" w:rsidRPr="00541291" w:rsidRDefault="005D3B00" w:rsidP="009F12FA">
            <w:pPr>
              <w:pStyle w:val="ListParagraph"/>
              <w:numPr>
                <w:ilvl w:val="0"/>
                <w:numId w:val="1"/>
              </w:numPr>
              <w:rPr>
                <w:rFonts w:ascii="Aptos" w:hAnsi="Aptos"/>
              </w:rPr>
            </w:pPr>
            <w:r w:rsidRPr="00541291">
              <w:rPr>
                <w:rFonts w:ascii="Aptos" w:hAnsi="Aptos"/>
              </w:rPr>
              <w:t>Sit and work with targeted students in lessons to ensure a positive learning experience for all.</w:t>
            </w:r>
          </w:p>
          <w:p w14:paraId="359FAB49" w14:textId="0595B023" w:rsidR="005D3B00" w:rsidRPr="00541291" w:rsidRDefault="005D3B00" w:rsidP="009F12FA">
            <w:pPr>
              <w:pStyle w:val="ListParagraph"/>
              <w:numPr>
                <w:ilvl w:val="0"/>
                <w:numId w:val="1"/>
              </w:numPr>
              <w:rPr>
                <w:rFonts w:ascii="Aptos" w:hAnsi="Aptos"/>
              </w:rPr>
            </w:pPr>
            <w:r w:rsidRPr="00541291">
              <w:rPr>
                <w:rFonts w:ascii="Aptos" w:hAnsi="Aptos"/>
              </w:rPr>
              <w:t>Support SLT and be the named person on the Call out rota, to attend</w:t>
            </w:r>
            <w:r w:rsidR="001838FD" w:rsidRPr="00541291">
              <w:rPr>
                <w:rFonts w:ascii="Aptos" w:hAnsi="Aptos"/>
              </w:rPr>
              <w:t xml:space="preserve"> </w:t>
            </w:r>
            <w:r w:rsidRPr="00541291">
              <w:rPr>
                <w:rFonts w:ascii="Aptos" w:hAnsi="Aptos"/>
              </w:rPr>
              <w:t>le</w:t>
            </w:r>
            <w:r w:rsidR="001838FD" w:rsidRPr="00541291">
              <w:rPr>
                <w:rFonts w:ascii="Aptos" w:hAnsi="Aptos"/>
              </w:rPr>
              <w:t>sson removals</w:t>
            </w:r>
            <w:r w:rsidRPr="00541291">
              <w:rPr>
                <w:rFonts w:ascii="Aptos" w:hAnsi="Aptos"/>
              </w:rPr>
              <w:t xml:space="preserve"> where needed.</w:t>
            </w:r>
          </w:p>
          <w:p w14:paraId="0CFA6487" w14:textId="566CF801" w:rsidR="005D3B00" w:rsidRPr="00541291" w:rsidRDefault="005D3B00" w:rsidP="009F12FA">
            <w:pPr>
              <w:pStyle w:val="ListParagraph"/>
              <w:numPr>
                <w:ilvl w:val="0"/>
                <w:numId w:val="1"/>
              </w:numPr>
              <w:rPr>
                <w:rFonts w:ascii="Aptos" w:hAnsi="Aptos"/>
              </w:rPr>
            </w:pPr>
            <w:r w:rsidRPr="00541291">
              <w:rPr>
                <w:rFonts w:ascii="Aptos" w:hAnsi="Aptos"/>
              </w:rPr>
              <w:t xml:space="preserve">Analyse and evaluate the daily and weekly behaviour incidents on </w:t>
            </w:r>
            <w:r w:rsidR="001838FD" w:rsidRPr="00541291">
              <w:rPr>
                <w:rFonts w:ascii="Aptos" w:hAnsi="Aptos"/>
              </w:rPr>
              <w:t>Go4Schools</w:t>
            </w:r>
            <w:r w:rsidRPr="00541291">
              <w:rPr>
                <w:rFonts w:ascii="Aptos" w:hAnsi="Aptos"/>
              </w:rPr>
              <w:t xml:space="preserve">, advising SLT and HoY of behaviour patterns. </w:t>
            </w:r>
          </w:p>
          <w:p w14:paraId="679CE5CB" w14:textId="6851C6CE" w:rsidR="000F07FC" w:rsidRPr="00541291" w:rsidRDefault="000F07FC" w:rsidP="009F12FA">
            <w:pPr>
              <w:pStyle w:val="ListParagraph"/>
              <w:numPr>
                <w:ilvl w:val="0"/>
                <w:numId w:val="1"/>
              </w:numPr>
              <w:rPr>
                <w:rFonts w:ascii="Aptos" w:hAnsi="Aptos"/>
              </w:rPr>
            </w:pPr>
            <w:r w:rsidRPr="00541291">
              <w:rPr>
                <w:rFonts w:ascii="Aptos" w:hAnsi="Aptos"/>
              </w:rPr>
              <w:t>Where required, investigate behaviour incidents, collecting statements and notifying SLT of findings.</w:t>
            </w:r>
          </w:p>
          <w:p w14:paraId="353B8B7E" w14:textId="03D8D144" w:rsidR="0083069E" w:rsidRPr="00541291" w:rsidRDefault="0083069E" w:rsidP="009F12FA">
            <w:pPr>
              <w:pStyle w:val="ListParagraph"/>
              <w:numPr>
                <w:ilvl w:val="0"/>
                <w:numId w:val="1"/>
              </w:numPr>
              <w:rPr>
                <w:rFonts w:ascii="Aptos" w:hAnsi="Aptos"/>
              </w:rPr>
            </w:pPr>
            <w:r w:rsidRPr="00541291">
              <w:rPr>
                <w:rFonts w:ascii="Aptos" w:hAnsi="Aptos"/>
              </w:rPr>
              <w:t>Where required, meet with students on a one-to-one basis or in a small group</w:t>
            </w:r>
            <w:r w:rsidR="00036CB6" w:rsidRPr="00541291">
              <w:rPr>
                <w:rFonts w:ascii="Aptos" w:hAnsi="Aptos"/>
              </w:rPr>
              <w:t>, to review behaviours and put strategies in place to improve behaviour.</w:t>
            </w:r>
          </w:p>
          <w:p w14:paraId="2E405DA2" w14:textId="6A404E84" w:rsidR="005D3B00" w:rsidRPr="00541291" w:rsidRDefault="005D3B00" w:rsidP="009F12FA">
            <w:pPr>
              <w:pStyle w:val="ListParagraph"/>
              <w:numPr>
                <w:ilvl w:val="0"/>
                <w:numId w:val="1"/>
              </w:numPr>
              <w:rPr>
                <w:rFonts w:ascii="Aptos" w:hAnsi="Aptos"/>
              </w:rPr>
            </w:pPr>
            <w:r w:rsidRPr="00541291">
              <w:rPr>
                <w:rFonts w:ascii="Aptos" w:hAnsi="Aptos"/>
              </w:rPr>
              <w:t xml:space="preserve">Daily phone calls to parents/carers to discuss behaviour incidents or </w:t>
            </w:r>
            <w:r w:rsidR="000F07FC" w:rsidRPr="00541291">
              <w:rPr>
                <w:rFonts w:ascii="Aptos" w:hAnsi="Aptos"/>
              </w:rPr>
              <w:t>on-going</w:t>
            </w:r>
            <w:r w:rsidRPr="00541291">
              <w:rPr>
                <w:rFonts w:ascii="Aptos" w:hAnsi="Aptos"/>
              </w:rPr>
              <w:t xml:space="preserve"> concerns.</w:t>
            </w:r>
          </w:p>
          <w:p w14:paraId="5ED56BAD" w14:textId="6DB78353" w:rsidR="001838FD" w:rsidRPr="00541291" w:rsidRDefault="001838FD" w:rsidP="001838FD">
            <w:pPr>
              <w:pStyle w:val="ListParagraph"/>
              <w:numPr>
                <w:ilvl w:val="0"/>
                <w:numId w:val="1"/>
              </w:numPr>
              <w:rPr>
                <w:rFonts w:ascii="Aptos" w:hAnsi="Aptos"/>
              </w:rPr>
            </w:pPr>
            <w:r w:rsidRPr="00541291">
              <w:rPr>
                <w:rFonts w:ascii="Aptos" w:hAnsi="Aptos"/>
              </w:rPr>
              <w:t xml:space="preserve">Create a calm, professional and positive environment in the </w:t>
            </w:r>
            <w:r w:rsidR="00866E02" w:rsidRPr="00541291">
              <w:rPr>
                <w:rFonts w:ascii="Aptos" w:hAnsi="Aptos"/>
              </w:rPr>
              <w:t>Internal Suspension Room (ISR).</w:t>
            </w:r>
            <w:r w:rsidRPr="00541291">
              <w:rPr>
                <w:rFonts w:ascii="Aptos" w:hAnsi="Aptos"/>
              </w:rPr>
              <w:t xml:space="preserve"> </w:t>
            </w:r>
          </w:p>
          <w:p w14:paraId="3C90A59D" w14:textId="37040C29" w:rsidR="001838FD" w:rsidRPr="00541291" w:rsidRDefault="001838FD" w:rsidP="001838FD">
            <w:pPr>
              <w:pStyle w:val="ListParagraph"/>
              <w:numPr>
                <w:ilvl w:val="0"/>
                <w:numId w:val="1"/>
              </w:numPr>
              <w:rPr>
                <w:rFonts w:ascii="Aptos" w:hAnsi="Aptos"/>
              </w:rPr>
            </w:pPr>
            <w:r w:rsidRPr="00541291">
              <w:rPr>
                <w:rFonts w:ascii="Aptos" w:hAnsi="Aptos"/>
              </w:rPr>
              <w:t xml:space="preserve">Ensure that students work appropriately and in silence in </w:t>
            </w:r>
            <w:r w:rsidR="00866E02" w:rsidRPr="00541291">
              <w:rPr>
                <w:rFonts w:ascii="Aptos" w:hAnsi="Aptos"/>
              </w:rPr>
              <w:t>Internal Suspension Room</w:t>
            </w:r>
            <w:r w:rsidRPr="00541291">
              <w:rPr>
                <w:rFonts w:ascii="Aptos" w:hAnsi="Aptos"/>
              </w:rPr>
              <w:t>, providing support where needed.</w:t>
            </w:r>
          </w:p>
          <w:p w14:paraId="142E42BE" w14:textId="77777777" w:rsidR="001838FD" w:rsidRPr="00541291" w:rsidRDefault="001838FD" w:rsidP="001838FD">
            <w:pPr>
              <w:pStyle w:val="ListParagraph"/>
              <w:numPr>
                <w:ilvl w:val="0"/>
                <w:numId w:val="1"/>
              </w:numPr>
              <w:rPr>
                <w:rFonts w:ascii="Aptos" w:hAnsi="Aptos"/>
              </w:rPr>
            </w:pPr>
            <w:r w:rsidRPr="00541291">
              <w:rPr>
                <w:rFonts w:ascii="Aptos" w:hAnsi="Aptos"/>
              </w:rPr>
              <w:t>Plan and provide work for students using the resources in supervised study.</w:t>
            </w:r>
          </w:p>
          <w:p w14:paraId="4DC32A2C" w14:textId="5CCF17A0" w:rsidR="001838FD" w:rsidRPr="00541291" w:rsidRDefault="001838FD" w:rsidP="001838FD">
            <w:pPr>
              <w:pStyle w:val="ListParagraph"/>
              <w:numPr>
                <w:ilvl w:val="0"/>
                <w:numId w:val="1"/>
              </w:numPr>
              <w:rPr>
                <w:rFonts w:ascii="Aptos" w:hAnsi="Aptos"/>
              </w:rPr>
            </w:pPr>
            <w:r w:rsidRPr="00541291">
              <w:rPr>
                <w:rFonts w:ascii="Aptos" w:hAnsi="Aptos"/>
              </w:rPr>
              <w:t xml:space="preserve">Manage break and lunchtime for students in the </w:t>
            </w:r>
            <w:r w:rsidR="00866E02" w:rsidRPr="00541291">
              <w:rPr>
                <w:rFonts w:ascii="Aptos" w:hAnsi="Aptos"/>
              </w:rPr>
              <w:t>Internal Suspension Room (ISR).</w:t>
            </w:r>
            <w:r w:rsidRPr="00541291">
              <w:rPr>
                <w:rFonts w:ascii="Aptos" w:hAnsi="Aptos"/>
              </w:rPr>
              <w:t xml:space="preserve"> </w:t>
            </w:r>
          </w:p>
          <w:p w14:paraId="5335A7D6" w14:textId="234ADB2A" w:rsidR="001838FD" w:rsidRPr="00541291" w:rsidRDefault="001838FD" w:rsidP="001838FD">
            <w:pPr>
              <w:pStyle w:val="ListParagraph"/>
              <w:numPr>
                <w:ilvl w:val="0"/>
                <w:numId w:val="1"/>
              </w:numPr>
              <w:rPr>
                <w:rFonts w:ascii="Aptos" w:hAnsi="Aptos"/>
              </w:rPr>
            </w:pPr>
            <w:r w:rsidRPr="00541291">
              <w:rPr>
                <w:rFonts w:ascii="Aptos" w:hAnsi="Aptos"/>
              </w:rPr>
              <w:t xml:space="preserve">Take and maintain a register of students sent to </w:t>
            </w:r>
            <w:r w:rsidR="00866E02" w:rsidRPr="00541291">
              <w:rPr>
                <w:rFonts w:ascii="Aptos" w:hAnsi="Aptos"/>
              </w:rPr>
              <w:t>Internal Suspension Room (ISR).</w:t>
            </w:r>
            <w:r w:rsidRPr="00541291">
              <w:rPr>
                <w:rFonts w:ascii="Aptos" w:hAnsi="Aptos"/>
              </w:rPr>
              <w:t xml:space="preserve"> </w:t>
            </w:r>
          </w:p>
          <w:p w14:paraId="69A0F49F" w14:textId="4CC62A48" w:rsidR="001838FD" w:rsidRPr="00541291" w:rsidRDefault="001838FD" w:rsidP="001838FD">
            <w:pPr>
              <w:pStyle w:val="ListParagraph"/>
              <w:numPr>
                <w:ilvl w:val="0"/>
                <w:numId w:val="1"/>
              </w:numPr>
              <w:rPr>
                <w:rFonts w:ascii="Aptos" w:hAnsi="Aptos"/>
              </w:rPr>
            </w:pPr>
            <w:r w:rsidRPr="00541291">
              <w:rPr>
                <w:rFonts w:ascii="Aptos" w:hAnsi="Aptos"/>
              </w:rPr>
              <w:t xml:space="preserve">Maintain a record of students sent to </w:t>
            </w:r>
            <w:r w:rsidR="00866E02" w:rsidRPr="00541291">
              <w:rPr>
                <w:rFonts w:ascii="Aptos" w:hAnsi="Aptos"/>
              </w:rPr>
              <w:t xml:space="preserve">Internal Suspension Room (ISR) </w:t>
            </w:r>
            <w:r w:rsidRPr="00541291">
              <w:rPr>
                <w:rFonts w:ascii="Aptos" w:hAnsi="Aptos"/>
              </w:rPr>
              <w:t xml:space="preserve">and advise SLT of patterns of attendance and of student concerns. </w:t>
            </w:r>
          </w:p>
          <w:p w14:paraId="6B060942" w14:textId="7CF1EEAD" w:rsidR="008A3F85" w:rsidRPr="00541291" w:rsidRDefault="008A3F85" w:rsidP="00A06796">
            <w:pPr>
              <w:pStyle w:val="ListParagraph"/>
              <w:numPr>
                <w:ilvl w:val="0"/>
                <w:numId w:val="1"/>
              </w:numPr>
              <w:rPr>
                <w:rFonts w:ascii="Aptos" w:hAnsi="Aptos"/>
              </w:rPr>
            </w:pPr>
            <w:r w:rsidRPr="00541291">
              <w:rPr>
                <w:rFonts w:ascii="Aptos" w:hAnsi="Aptos"/>
              </w:rPr>
              <w:t xml:space="preserve">Work closely and flexibly with the </w:t>
            </w:r>
            <w:r w:rsidR="00866E02" w:rsidRPr="00541291">
              <w:rPr>
                <w:rFonts w:ascii="Aptos" w:hAnsi="Aptos"/>
              </w:rPr>
              <w:t>Vice</w:t>
            </w:r>
            <w:r w:rsidRPr="00541291">
              <w:rPr>
                <w:rFonts w:ascii="Aptos" w:hAnsi="Aptos"/>
              </w:rPr>
              <w:t xml:space="preserve"> Principal (Behaviour) to support students struggling with their behaviour. </w:t>
            </w:r>
          </w:p>
        </w:tc>
      </w:tr>
    </w:tbl>
    <w:p w14:paraId="4C1A92E6" w14:textId="77777777" w:rsidR="00221BA1" w:rsidRPr="00541291" w:rsidRDefault="00221BA1">
      <w:pPr>
        <w:rPr>
          <w:rFonts w:ascii="Aptos" w:hAnsi="Aptos"/>
        </w:rPr>
      </w:pPr>
    </w:p>
    <w:tbl>
      <w:tblPr>
        <w:tblStyle w:val="TableGrid"/>
        <w:tblW w:w="10065" w:type="dxa"/>
        <w:tblInd w:w="-431" w:type="dxa"/>
        <w:tblLook w:val="04A0" w:firstRow="1" w:lastRow="0" w:firstColumn="1" w:lastColumn="0" w:noHBand="0" w:noVBand="1"/>
      </w:tblPr>
      <w:tblGrid>
        <w:gridCol w:w="10065"/>
      </w:tblGrid>
      <w:tr w:rsidR="008A3F85" w:rsidRPr="00541291" w14:paraId="2A65872E" w14:textId="77777777" w:rsidTr="00221BA1">
        <w:tc>
          <w:tcPr>
            <w:tcW w:w="10065" w:type="dxa"/>
          </w:tcPr>
          <w:p w14:paraId="674B2A99" w14:textId="5C0A8BA4" w:rsidR="008A3F85" w:rsidRPr="00541291" w:rsidRDefault="008A3F85">
            <w:pPr>
              <w:rPr>
                <w:rFonts w:ascii="Aptos" w:hAnsi="Aptos"/>
                <w:b/>
                <w:bCs/>
              </w:rPr>
            </w:pPr>
            <w:r w:rsidRPr="00541291">
              <w:rPr>
                <w:rFonts w:ascii="Aptos" w:hAnsi="Aptos"/>
                <w:b/>
                <w:bCs/>
              </w:rPr>
              <w:t>Health &amp; Safety:</w:t>
            </w:r>
          </w:p>
          <w:p w14:paraId="1B9C031F" w14:textId="77777777" w:rsidR="00221BA1" w:rsidRPr="00541291" w:rsidRDefault="00221BA1">
            <w:pPr>
              <w:rPr>
                <w:rFonts w:ascii="Aptos" w:hAnsi="Aptos"/>
              </w:rPr>
            </w:pPr>
          </w:p>
          <w:p w14:paraId="3F2725C3" w14:textId="77777777" w:rsidR="008A3F85" w:rsidRPr="00541291" w:rsidRDefault="008A3F85" w:rsidP="008A3F85">
            <w:pPr>
              <w:pStyle w:val="ListParagraph"/>
              <w:numPr>
                <w:ilvl w:val="0"/>
                <w:numId w:val="2"/>
              </w:numPr>
              <w:rPr>
                <w:rFonts w:ascii="Aptos" w:hAnsi="Aptos"/>
              </w:rPr>
            </w:pPr>
            <w:r w:rsidRPr="00541291">
              <w:rPr>
                <w:rFonts w:ascii="Aptos" w:hAnsi="Aptos"/>
              </w:rPr>
              <w:t xml:space="preserve">Work within the requirements of the Academy’s Health and Safety Policy, performance standards, safe systems of work and procedures. </w:t>
            </w:r>
          </w:p>
          <w:p w14:paraId="578BD48A" w14:textId="755E5671" w:rsidR="008A3F85" w:rsidRPr="00541291" w:rsidRDefault="008A3F85" w:rsidP="008A3F85">
            <w:pPr>
              <w:pStyle w:val="ListParagraph"/>
              <w:rPr>
                <w:rFonts w:ascii="Aptos" w:hAnsi="Aptos"/>
              </w:rPr>
            </w:pPr>
          </w:p>
        </w:tc>
      </w:tr>
    </w:tbl>
    <w:tbl>
      <w:tblPr>
        <w:tblpPr w:leftFromText="180" w:rightFromText="180" w:vertAnchor="text" w:horzAnchor="margin" w:tblpXSpec="center" w:tblpY="-3100"/>
        <w:tblW w:w="91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4324"/>
        <w:gridCol w:w="2282"/>
      </w:tblGrid>
      <w:tr w:rsidR="001838FD" w:rsidRPr="007E604C" w14:paraId="08E9520F" w14:textId="77777777" w:rsidTr="001838FD">
        <w:trPr>
          <w:trHeight w:val="429"/>
        </w:trPr>
        <w:tc>
          <w:tcPr>
            <w:tcW w:w="2518" w:type="dxa"/>
            <w:vAlign w:val="center"/>
          </w:tcPr>
          <w:p w14:paraId="1F6E9898" w14:textId="77777777" w:rsidR="001838FD" w:rsidRPr="007E604C" w:rsidRDefault="001838FD" w:rsidP="001838FD">
            <w:pPr>
              <w:spacing w:after="0" w:line="240" w:lineRule="auto"/>
              <w:jc w:val="center"/>
              <w:rPr>
                <w:rFonts w:ascii="Aptos" w:eastAsia="Times New Roman" w:hAnsi="Aptos" w:cs="Arial"/>
                <w:b/>
                <w:bCs/>
                <w:color w:val="000000"/>
                <w:sz w:val="20"/>
                <w:szCs w:val="20"/>
                <w:lang w:eastAsia="en-GB"/>
              </w:rPr>
            </w:pPr>
          </w:p>
          <w:p w14:paraId="7A9B2126"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p w14:paraId="1E379677"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p w14:paraId="2A34068A"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p w14:paraId="751889FB"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p w14:paraId="4260B6B8"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p w14:paraId="44486E7C"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p w14:paraId="2EA83934" w14:textId="77777777" w:rsidR="007E604C" w:rsidRPr="007E604C" w:rsidRDefault="007E604C" w:rsidP="001838FD">
            <w:pPr>
              <w:spacing w:after="0" w:line="240" w:lineRule="auto"/>
              <w:jc w:val="center"/>
              <w:rPr>
                <w:rFonts w:ascii="Aptos" w:eastAsia="Times New Roman" w:hAnsi="Aptos" w:cs="Arial"/>
                <w:b/>
                <w:bCs/>
                <w:color w:val="000000"/>
                <w:sz w:val="20"/>
                <w:szCs w:val="20"/>
                <w:lang w:eastAsia="en-GB"/>
              </w:rPr>
            </w:pPr>
          </w:p>
        </w:tc>
        <w:tc>
          <w:tcPr>
            <w:tcW w:w="4324" w:type="dxa"/>
            <w:vAlign w:val="center"/>
          </w:tcPr>
          <w:p w14:paraId="06A75144" w14:textId="77777777" w:rsidR="001838FD" w:rsidRPr="007E604C" w:rsidRDefault="001838FD" w:rsidP="001838FD">
            <w:pPr>
              <w:spacing w:after="0" w:line="240" w:lineRule="auto"/>
              <w:jc w:val="center"/>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ESSENTIAL</w:t>
            </w:r>
          </w:p>
        </w:tc>
        <w:tc>
          <w:tcPr>
            <w:tcW w:w="2282" w:type="dxa"/>
            <w:vAlign w:val="center"/>
          </w:tcPr>
          <w:p w14:paraId="5BE55B38" w14:textId="77777777" w:rsidR="001838FD" w:rsidRPr="007E604C" w:rsidRDefault="001838FD" w:rsidP="001838FD">
            <w:pPr>
              <w:spacing w:after="0" w:line="240" w:lineRule="auto"/>
              <w:jc w:val="center"/>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DESIRABLE</w:t>
            </w:r>
          </w:p>
        </w:tc>
      </w:tr>
      <w:tr w:rsidR="001838FD" w:rsidRPr="007E604C" w14:paraId="1916A9CC" w14:textId="77777777" w:rsidTr="001838FD">
        <w:trPr>
          <w:trHeight w:val="558"/>
        </w:trPr>
        <w:tc>
          <w:tcPr>
            <w:tcW w:w="2518" w:type="dxa"/>
            <w:hideMark/>
          </w:tcPr>
          <w:p w14:paraId="79FDAD56"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 xml:space="preserve">QUALIFICATIONS </w:t>
            </w:r>
          </w:p>
        </w:tc>
        <w:tc>
          <w:tcPr>
            <w:tcW w:w="4324" w:type="dxa"/>
            <w:hideMark/>
          </w:tcPr>
          <w:p w14:paraId="13EFBCAC"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Good numeracy and literacy skills, preferably to GCSE Grade 4 or equivalent </w:t>
            </w:r>
          </w:p>
        </w:tc>
        <w:tc>
          <w:tcPr>
            <w:tcW w:w="2282" w:type="dxa"/>
          </w:tcPr>
          <w:p w14:paraId="6F25D2D8"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Evidence of recent professional training</w:t>
            </w:r>
          </w:p>
        </w:tc>
      </w:tr>
      <w:tr w:rsidR="001838FD" w:rsidRPr="007E604C" w14:paraId="2F367623" w14:textId="77777777" w:rsidTr="001838FD">
        <w:trPr>
          <w:trHeight w:val="123"/>
        </w:trPr>
        <w:tc>
          <w:tcPr>
            <w:tcW w:w="2518" w:type="dxa"/>
            <w:noWrap/>
            <w:hideMark/>
          </w:tcPr>
          <w:p w14:paraId="157CBE5E"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c>
          <w:tcPr>
            <w:tcW w:w="4324" w:type="dxa"/>
            <w:hideMark/>
          </w:tcPr>
          <w:p w14:paraId="6D9FEC05"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2282" w:type="dxa"/>
          </w:tcPr>
          <w:p w14:paraId="2B2E6DC9" w14:textId="77777777" w:rsidR="001838FD" w:rsidRPr="007E604C" w:rsidRDefault="001838FD" w:rsidP="001838FD">
            <w:pPr>
              <w:spacing w:after="0" w:line="240" w:lineRule="auto"/>
              <w:rPr>
                <w:rFonts w:ascii="Aptos" w:eastAsia="Times New Roman" w:hAnsi="Aptos" w:cs="Times New Roman"/>
                <w:sz w:val="20"/>
                <w:szCs w:val="20"/>
                <w:lang w:eastAsia="en-GB"/>
              </w:rPr>
            </w:pPr>
          </w:p>
        </w:tc>
      </w:tr>
      <w:tr w:rsidR="001838FD" w:rsidRPr="007E604C" w14:paraId="5599A0ED" w14:textId="77777777" w:rsidTr="001838FD">
        <w:trPr>
          <w:trHeight w:val="769"/>
        </w:trPr>
        <w:tc>
          <w:tcPr>
            <w:tcW w:w="2518" w:type="dxa"/>
            <w:hideMark/>
          </w:tcPr>
          <w:p w14:paraId="575EE671"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 xml:space="preserve">EXPERIENCE </w:t>
            </w:r>
          </w:p>
        </w:tc>
        <w:tc>
          <w:tcPr>
            <w:tcW w:w="4324" w:type="dxa"/>
            <w:hideMark/>
          </w:tcPr>
          <w:p w14:paraId="6EBB730F"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Experience of working in a supportive role in a secondary setting.</w:t>
            </w:r>
          </w:p>
        </w:tc>
        <w:tc>
          <w:tcPr>
            <w:tcW w:w="2282" w:type="dxa"/>
          </w:tcPr>
          <w:p w14:paraId="283A09E0"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5AE7C454" w14:textId="77777777" w:rsidTr="001838FD">
        <w:trPr>
          <w:trHeight w:val="769"/>
        </w:trPr>
        <w:tc>
          <w:tcPr>
            <w:tcW w:w="2518" w:type="dxa"/>
            <w:hideMark/>
          </w:tcPr>
          <w:p w14:paraId="01BF9A0A"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2E85215D"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Demonstrable experience of supporting disadvantaged students to realise their potential.</w:t>
            </w:r>
          </w:p>
        </w:tc>
        <w:tc>
          <w:tcPr>
            <w:tcW w:w="2282" w:type="dxa"/>
          </w:tcPr>
          <w:p w14:paraId="445DBB50"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655B269D" w14:textId="77777777" w:rsidTr="001838FD">
        <w:trPr>
          <w:trHeight w:val="1282"/>
        </w:trPr>
        <w:tc>
          <w:tcPr>
            <w:tcW w:w="2518" w:type="dxa"/>
            <w:hideMark/>
          </w:tcPr>
          <w:p w14:paraId="0863A34F"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717CCA8A"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c>
          <w:tcPr>
            <w:tcW w:w="2282" w:type="dxa"/>
          </w:tcPr>
          <w:p w14:paraId="5B72FCDA"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Demonstrable experience in successfully supporting the learning of students including SEND students and those with ASD.</w:t>
            </w:r>
          </w:p>
        </w:tc>
      </w:tr>
      <w:tr w:rsidR="001838FD" w:rsidRPr="007E604C" w14:paraId="761D002F" w14:textId="77777777" w:rsidTr="001838FD">
        <w:trPr>
          <w:trHeight w:val="1026"/>
        </w:trPr>
        <w:tc>
          <w:tcPr>
            <w:tcW w:w="2518" w:type="dxa"/>
            <w:hideMark/>
          </w:tcPr>
          <w:p w14:paraId="74E532B1"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17D6B274"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Demonstrable experience in successfully supporting disaffected students to realise their potential. </w:t>
            </w:r>
          </w:p>
        </w:tc>
        <w:tc>
          <w:tcPr>
            <w:tcW w:w="2282" w:type="dxa"/>
          </w:tcPr>
          <w:p w14:paraId="2288D340"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250045A8" w14:textId="77777777" w:rsidTr="001838FD">
        <w:trPr>
          <w:trHeight w:val="769"/>
        </w:trPr>
        <w:tc>
          <w:tcPr>
            <w:tcW w:w="2518" w:type="dxa"/>
            <w:hideMark/>
          </w:tcPr>
          <w:p w14:paraId="519D0548"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0FE07EE4"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c>
          <w:tcPr>
            <w:tcW w:w="2282" w:type="dxa"/>
          </w:tcPr>
          <w:p w14:paraId="32709B3D"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Experience of planning and working with teachers to ensure students succeed.</w:t>
            </w:r>
          </w:p>
        </w:tc>
      </w:tr>
      <w:tr w:rsidR="001838FD" w:rsidRPr="007E604C" w14:paraId="0AFBB98A" w14:textId="77777777" w:rsidTr="001838FD">
        <w:trPr>
          <w:trHeight w:val="301"/>
        </w:trPr>
        <w:tc>
          <w:tcPr>
            <w:tcW w:w="2518" w:type="dxa"/>
            <w:noWrap/>
            <w:hideMark/>
          </w:tcPr>
          <w:p w14:paraId="167D1759"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57F57896"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2282" w:type="dxa"/>
          </w:tcPr>
          <w:p w14:paraId="7F2008BA" w14:textId="77777777" w:rsidR="001838FD" w:rsidRPr="007E604C" w:rsidRDefault="001838FD" w:rsidP="001838FD">
            <w:pPr>
              <w:spacing w:after="0" w:line="240" w:lineRule="auto"/>
              <w:rPr>
                <w:rFonts w:ascii="Aptos" w:eastAsia="Times New Roman" w:hAnsi="Aptos" w:cs="Times New Roman"/>
                <w:sz w:val="20"/>
                <w:szCs w:val="20"/>
                <w:lang w:eastAsia="en-GB"/>
              </w:rPr>
            </w:pPr>
          </w:p>
        </w:tc>
      </w:tr>
      <w:tr w:rsidR="001838FD" w:rsidRPr="007E604C" w14:paraId="68EF8970" w14:textId="77777777" w:rsidTr="001838FD">
        <w:trPr>
          <w:trHeight w:val="513"/>
        </w:trPr>
        <w:tc>
          <w:tcPr>
            <w:tcW w:w="2518" w:type="dxa"/>
            <w:hideMark/>
          </w:tcPr>
          <w:p w14:paraId="7609A13F"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 xml:space="preserve">KNOWLEDGE AND  UNDERSTANDING </w:t>
            </w:r>
          </w:p>
        </w:tc>
        <w:tc>
          <w:tcPr>
            <w:tcW w:w="4324" w:type="dxa"/>
            <w:hideMark/>
          </w:tcPr>
          <w:p w14:paraId="6A7BDDFA"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Sound knowledge of education within a secondary setting. </w:t>
            </w:r>
          </w:p>
        </w:tc>
        <w:tc>
          <w:tcPr>
            <w:tcW w:w="2282" w:type="dxa"/>
          </w:tcPr>
          <w:p w14:paraId="2CFFB5D5"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6AE59748" w14:textId="77777777" w:rsidTr="001838FD">
        <w:trPr>
          <w:trHeight w:val="769"/>
        </w:trPr>
        <w:tc>
          <w:tcPr>
            <w:tcW w:w="2518" w:type="dxa"/>
            <w:hideMark/>
          </w:tcPr>
          <w:p w14:paraId="48787E74"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51981024"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Understanding of the social, emotional and intellectual development of teenagers. </w:t>
            </w:r>
          </w:p>
        </w:tc>
        <w:tc>
          <w:tcPr>
            <w:tcW w:w="2282" w:type="dxa"/>
          </w:tcPr>
          <w:p w14:paraId="51B01369"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7D4670D6" w14:textId="77777777" w:rsidTr="001838FD">
        <w:trPr>
          <w:trHeight w:val="513"/>
        </w:trPr>
        <w:tc>
          <w:tcPr>
            <w:tcW w:w="2518" w:type="dxa"/>
            <w:hideMark/>
          </w:tcPr>
          <w:p w14:paraId="04E993D4"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0FD8EA6F"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Knowledge of effective behaviour management strategies. </w:t>
            </w:r>
          </w:p>
        </w:tc>
        <w:tc>
          <w:tcPr>
            <w:tcW w:w="2282" w:type="dxa"/>
          </w:tcPr>
          <w:p w14:paraId="0FA66391"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006FA5E3" w14:textId="77777777" w:rsidTr="001838FD">
        <w:trPr>
          <w:trHeight w:val="513"/>
        </w:trPr>
        <w:tc>
          <w:tcPr>
            <w:tcW w:w="2518" w:type="dxa"/>
            <w:hideMark/>
          </w:tcPr>
          <w:p w14:paraId="1263C6AB"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18C94A97"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Demonstrable understanding of how students learn effectively. </w:t>
            </w:r>
          </w:p>
        </w:tc>
        <w:tc>
          <w:tcPr>
            <w:tcW w:w="2282" w:type="dxa"/>
          </w:tcPr>
          <w:p w14:paraId="7D3F4CBB"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5401EF23" w14:textId="77777777" w:rsidTr="001838FD">
        <w:trPr>
          <w:trHeight w:val="301"/>
        </w:trPr>
        <w:tc>
          <w:tcPr>
            <w:tcW w:w="2518" w:type="dxa"/>
            <w:noWrap/>
            <w:hideMark/>
          </w:tcPr>
          <w:p w14:paraId="563BA3FF"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490F3FC2"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2282" w:type="dxa"/>
          </w:tcPr>
          <w:p w14:paraId="690DDDC6" w14:textId="77777777" w:rsidR="001838FD" w:rsidRPr="007E604C" w:rsidRDefault="001838FD" w:rsidP="001838FD">
            <w:pPr>
              <w:spacing w:after="0" w:line="240" w:lineRule="auto"/>
              <w:rPr>
                <w:rFonts w:ascii="Aptos" w:eastAsia="Times New Roman" w:hAnsi="Aptos" w:cs="Times New Roman"/>
                <w:sz w:val="20"/>
                <w:szCs w:val="20"/>
                <w:lang w:eastAsia="en-GB"/>
              </w:rPr>
            </w:pPr>
          </w:p>
        </w:tc>
      </w:tr>
      <w:tr w:rsidR="001838FD" w:rsidRPr="007E604C" w14:paraId="528ACFEF" w14:textId="77777777" w:rsidTr="001838FD">
        <w:trPr>
          <w:trHeight w:val="769"/>
        </w:trPr>
        <w:tc>
          <w:tcPr>
            <w:tcW w:w="2518" w:type="dxa"/>
            <w:hideMark/>
          </w:tcPr>
          <w:p w14:paraId="693FF55E"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 xml:space="preserve">SKILLS AND PERSONAL ATTRIBUTES  </w:t>
            </w:r>
          </w:p>
        </w:tc>
        <w:tc>
          <w:tcPr>
            <w:tcW w:w="4324" w:type="dxa"/>
            <w:hideMark/>
          </w:tcPr>
          <w:p w14:paraId="55B50751"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Focused on breaking down barriers to ensure all students make good academic progress. </w:t>
            </w:r>
          </w:p>
        </w:tc>
        <w:tc>
          <w:tcPr>
            <w:tcW w:w="2282" w:type="dxa"/>
          </w:tcPr>
          <w:p w14:paraId="1CE6850C"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23E4CEFC" w14:textId="77777777" w:rsidTr="001838FD">
        <w:trPr>
          <w:trHeight w:val="513"/>
        </w:trPr>
        <w:tc>
          <w:tcPr>
            <w:tcW w:w="2518" w:type="dxa"/>
            <w:hideMark/>
          </w:tcPr>
          <w:p w14:paraId="3257F4F8"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735D8C35"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Confident and efficient in managing behaviour. </w:t>
            </w:r>
          </w:p>
        </w:tc>
        <w:tc>
          <w:tcPr>
            <w:tcW w:w="2282" w:type="dxa"/>
          </w:tcPr>
          <w:p w14:paraId="66D8BD58"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5797E56F" w14:textId="77777777" w:rsidTr="001838FD">
        <w:trPr>
          <w:trHeight w:val="769"/>
        </w:trPr>
        <w:tc>
          <w:tcPr>
            <w:tcW w:w="2518" w:type="dxa"/>
            <w:hideMark/>
          </w:tcPr>
          <w:p w14:paraId="1BE5503F"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47444B4A"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Demonstrable experience of building effective relationships with young people. </w:t>
            </w:r>
          </w:p>
        </w:tc>
        <w:tc>
          <w:tcPr>
            <w:tcW w:w="2282" w:type="dxa"/>
          </w:tcPr>
          <w:p w14:paraId="22093DE3"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7B294475" w14:textId="77777777" w:rsidTr="001838FD">
        <w:trPr>
          <w:trHeight w:val="769"/>
        </w:trPr>
        <w:tc>
          <w:tcPr>
            <w:tcW w:w="2518" w:type="dxa"/>
            <w:hideMark/>
          </w:tcPr>
          <w:p w14:paraId="7949C776"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1E75E88A"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Resilient, motivated and committed to driving up standards across the Academy. </w:t>
            </w:r>
          </w:p>
        </w:tc>
        <w:tc>
          <w:tcPr>
            <w:tcW w:w="2282" w:type="dxa"/>
          </w:tcPr>
          <w:p w14:paraId="2C66B48D"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7998FC86" w14:textId="77777777" w:rsidTr="001838FD">
        <w:trPr>
          <w:trHeight w:val="513"/>
        </w:trPr>
        <w:tc>
          <w:tcPr>
            <w:tcW w:w="2518" w:type="dxa"/>
            <w:hideMark/>
          </w:tcPr>
          <w:p w14:paraId="79344864"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65CA2953"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Excellent communication skills, orally, written and in using ICT.</w:t>
            </w:r>
          </w:p>
        </w:tc>
        <w:tc>
          <w:tcPr>
            <w:tcW w:w="2282" w:type="dxa"/>
          </w:tcPr>
          <w:p w14:paraId="17A03EE1"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30C6B015" w14:textId="77777777" w:rsidTr="001838FD">
        <w:trPr>
          <w:trHeight w:val="769"/>
        </w:trPr>
        <w:tc>
          <w:tcPr>
            <w:tcW w:w="2518" w:type="dxa"/>
            <w:hideMark/>
          </w:tcPr>
          <w:p w14:paraId="7D1CA91F"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4324" w:type="dxa"/>
            <w:hideMark/>
          </w:tcPr>
          <w:p w14:paraId="4F91019F"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Willingness to reflect upon his/her experiences in a critical and constructive manner. </w:t>
            </w:r>
          </w:p>
        </w:tc>
        <w:tc>
          <w:tcPr>
            <w:tcW w:w="2282" w:type="dxa"/>
          </w:tcPr>
          <w:p w14:paraId="08F8183E"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1A266E8D" w14:textId="77777777" w:rsidTr="001838FD">
        <w:trPr>
          <w:trHeight w:val="301"/>
        </w:trPr>
        <w:tc>
          <w:tcPr>
            <w:tcW w:w="2518" w:type="dxa"/>
            <w:noWrap/>
            <w:hideMark/>
          </w:tcPr>
          <w:p w14:paraId="515DD9E3"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c>
          <w:tcPr>
            <w:tcW w:w="4324" w:type="dxa"/>
            <w:hideMark/>
          </w:tcPr>
          <w:p w14:paraId="187CC584"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2282" w:type="dxa"/>
          </w:tcPr>
          <w:p w14:paraId="05B20996" w14:textId="77777777" w:rsidR="001838FD" w:rsidRPr="007E604C" w:rsidRDefault="001838FD" w:rsidP="001838FD">
            <w:pPr>
              <w:spacing w:after="0" w:line="240" w:lineRule="auto"/>
              <w:rPr>
                <w:rFonts w:ascii="Aptos" w:eastAsia="Times New Roman" w:hAnsi="Aptos" w:cs="Times New Roman"/>
                <w:sz w:val="20"/>
                <w:szCs w:val="20"/>
                <w:lang w:eastAsia="en-GB"/>
              </w:rPr>
            </w:pPr>
          </w:p>
        </w:tc>
      </w:tr>
      <w:tr w:rsidR="001838FD" w:rsidRPr="007E604C" w14:paraId="05E8507A" w14:textId="77777777" w:rsidTr="001838FD">
        <w:trPr>
          <w:trHeight w:val="1026"/>
        </w:trPr>
        <w:tc>
          <w:tcPr>
            <w:tcW w:w="2518" w:type="dxa"/>
            <w:hideMark/>
          </w:tcPr>
          <w:p w14:paraId="4F6BCD65"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lastRenderedPageBreak/>
              <w:t xml:space="preserve">EQUAL  OPPORTUNITIES </w:t>
            </w:r>
          </w:p>
        </w:tc>
        <w:tc>
          <w:tcPr>
            <w:tcW w:w="4324" w:type="dxa"/>
            <w:hideMark/>
          </w:tcPr>
          <w:p w14:paraId="75B3820A"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A demonstrable commitment to supporting and promoting safeguarding, student welfare, equality and diversity. </w:t>
            </w:r>
          </w:p>
        </w:tc>
        <w:tc>
          <w:tcPr>
            <w:tcW w:w="2282" w:type="dxa"/>
          </w:tcPr>
          <w:p w14:paraId="0290BE7C"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6B514EEF" w14:textId="77777777" w:rsidTr="001838FD">
        <w:trPr>
          <w:trHeight w:val="301"/>
        </w:trPr>
        <w:tc>
          <w:tcPr>
            <w:tcW w:w="2518" w:type="dxa"/>
            <w:hideMark/>
          </w:tcPr>
          <w:p w14:paraId="3C63F8FE"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c>
          <w:tcPr>
            <w:tcW w:w="4324" w:type="dxa"/>
            <w:hideMark/>
          </w:tcPr>
          <w:p w14:paraId="6253FA3C"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2282" w:type="dxa"/>
          </w:tcPr>
          <w:p w14:paraId="4AB3B5C6" w14:textId="77777777" w:rsidR="001838FD" w:rsidRPr="007E604C" w:rsidRDefault="001838FD" w:rsidP="001838FD">
            <w:pPr>
              <w:spacing w:after="0" w:line="240" w:lineRule="auto"/>
              <w:rPr>
                <w:rFonts w:ascii="Aptos" w:eastAsia="Times New Roman" w:hAnsi="Aptos" w:cs="Times New Roman"/>
                <w:sz w:val="20"/>
                <w:szCs w:val="20"/>
                <w:lang w:eastAsia="en-GB"/>
              </w:rPr>
            </w:pPr>
          </w:p>
        </w:tc>
      </w:tr>
      <w:tr w:rsidR="001838FD" w:rsidRPr="007E604C" w14:paraId="650A75A4" w14:textId="77777777" w:rsidTr="001838FD">
        <w:trPr>
          <w:trHeight w:val="769"/>
        </w:trPr>
        <w:tc>
          <w:tcPr>
            <w:tcW w:w="2518" w:type="dxa"/>
            <w:hideMark/>
          </w:tcPr>
          <w:p w14:paraId="294E1725"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SAFEGUARDING</w:t>
            </w:r>
          </w:p>
        </w:tc>
        <w:tc>
          <w:tcPr>
            <w:tcW w:w="4324" w:type="dxa"/>
            <w:hideMark/>
          </w:tcPr>
          <w:p w14:paraId="33DAA4B5"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 xml:space="preserve">A thorough understanding of up-to-date safeguarding requirements and best practice. </w:t>
            </w:r>
          </w:p>
        </w:tc>
        <w:tc>
          <w:tcPr>
            <w:tcW w:w="2282" w:type="dxa"/>
          </w:tcPr>
          <w:p w14:paraId="65ED8B6B"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r w:rsidR="001838FD" w:rsidRPr="007E604C" w14:paraId="4FFE1670" w14:textId="77777777" w:rsidTr="001838FD">
        <w:trPr>
          <w:trHeight w:val="301"/>
        </w:trPr>
        <w:tc>
          <w:tcPr>
            <w:tcW w:w="2518" w:type="dxa"/>
            <w:noWrap/>
            <w:hideMark/>
          </w:tcPr>
          <w:p w14:paraId="5D4FF263"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c>
          <w:tcPr>
            <w:tcW w:w="4324" w:type="dxa"/>
            <w:hideMark/>
          </w:tcPr>
          <w:p w14:paraId="5F12A9B0" w14:textId="77777777" w:rsidR="001838FD" w:rsidRPr="007E604C" w:rsidRDefault="001838FD" w:rsidP="001838FD">
            <w:pPr>
              <w:spacing w:after="0" w:line="240" w:lineRule="auto"/>
              <w:rPr>
                <w:rFonts w:ascii="Aptos" w:eastAsia="Times New Roman" w:hAnsi="Aptos" w:cs="Times New Roman"/>
                <w:sz w:val="20"/>
                <w:szCs w:val="20"/>
                <w:lang w:eastAsia="en-GB"/>
              </w:rPr>
            </w:pPr>
          </w:p>
        </w:tc>
        <w:tc>
          <w:tcPr>
            <w:tcW w:w="2282" w:type="dxa"/>
          </w:tcPr>
          <w:p w14:paraId="6A04AA17" w14:textId="77777777" w:rsidR="001838FD" w:rsidRPr="007E604C" w:rsidRDefault="001838FD" w:rsidP="001838FD">
            <w:pPr>
              <w:spacing w:after="0" w:line="240" w:lineRule="auto"/>
              <w:rPr>
                <w:rFonts w:ascii="Aptos" w:eastAsia="Times New Roman" w:hAnsi="Aptos" w:cs="Times New Roman"/>
                <w:sz w:val="20"/>
                <w:szCs w:val="20"/>
                <w:lang w:eastAsia="en-GB"/>
              </w:rPr>
            </w:pPr>
          </w:p>
        </w:tc>
      </w:tr>
      <w:tr w:rsidR="001838FD" w:rsidRPr="007E604C" w14:paraId="0ED08E1C" w14:textId="77777777" w:rsidTr="001838FD">
        <w:trPr>
          <w:trHeight w:val="1539"/>
        </w:trPr>
        <w:tc>
          <w:tcPr>
            <w:tcW w:w="2518" w:type="dxa"/>
            <w:hideMark/>
          </w:tcPr>
          <w:p w14:paraId="61AF979C" w14:textId="77777777" w:rsidR="001838FD" w:rsidRPr="007E604C" w:rsidRDefault="001838FD" w:rsidP="001838FD">
            <w:pPr>
              <w:spacing w:after="0" w:line="240" w:lineRule="auto"/>
              <w:rPr>
                <w:rFonts w:ascii="Aptos" w:eastAsia="Times New Roman" w:hAnsi="Aptos" w:cs="Arial"/>
                <w:b/>
                <w:bCs/>
                <w:color w:val="000000"/>
                <w:sz w:val="20"/>
                <w:szCs w:val="20"/>
                <w:lang w:eastAsia="en-GB"/>
              </w:rPr>
            </w:pPr>
            <w:r w:rsidRPr="007E604C">
              <w:rPr>
                <w:rFonts w:ascii="Aptos" w:eastAsia="Times New Roman" w:hAnsi="Aptos" w:cs="Arial"/>
                <w:b/>
                <w:bCs/>
                <w:color w:val="000000"/>
                <w:sz w:val="20"/>
                <w:szCs w:val="20"/>
                <w:lang w:eastAsia="en-GB"/>
              </w:rPr>
              <w:t>OTHER  REQUIREMENTS</w:t>
            </w:r>
          </w:p>
        </w:tc>
        <w:tc>
          <w:tcPr>
            <w:tcW w:w="4324" w:type="dxa"/>
            <w:hideMark/>
          </w:tcPr>
          <w:p w14:paraId="28581C1B" w14:textId="77777777" w:rsidR="001838FD" w:rsidRPr="007E604C" w:rsidRDefault="001838FD" w:rsidP="001838FD">
            <w:pPr>
              <w:spacing w:after="0" w:line="240" w:lineRule="auto"/>
              <w:rPr>
                <w:rFonts w:ascii="Aptos" w:eastAsia="Times New Roman" w:hAnsi="Aptos" w:cs="Arial"/>
                <w:color w:val="000000"/>
                <w:sz w:val="20"/>
                <w:szCs w:val="20"/>
                <w:lang w:eastAsia="en-GB"/>
              </w:rPr>
            </w:pPr>
            <w:r w:rsidRPr="007E604C">
              <w:rPr>
                <w:rFonts w:ascii="Aptos" w:eastAsia="Times New Roman" w:hAnsi="Aptos" w:cs="Arial"/>
                <w:color w:val="000000"/>
                <w:sz w:val="20"/>
                <w:szCs w:val="20"/>
                <w:lang w:eastAsia="en-GB"/>
              </w:rPr>
              <w:t>High expectations for every student and a proven track record of making a difference to the learning and experiences of students.</w:t>
            </w:r>
          </w:p>
        </w:tc>
        <w:tc>
          <w:tcPr>
            <w:tcW w:w="2282" w:type="dxa"/>
          </w:tcPr>
          <w:p w14:paraId="573B08E1" w14:textId="77777777" w:rsidR="001838FD" w:rsidRPr="007E604C" w:rsidRDefault="001838FD" w:rsidP="001838FD">
            <w:pPr>
              <w:spacing w:after="0" w:line="240" w:lineRule="auto"/>
              <w:rPr>
                <w:rFonts w:ascii="Aptos" w:eastAsia="Times New Roman" w:hAnsi="Aptos" w:cs="Arial"/>
                <w:color w:val="000000"/>
                <w:sz w:val="20"/>
                <w:szCs w:val="20"/>
                <w:lang w:eastAsia="en-GB"/>
              </w:rPr>
            </w:pPr>
          </w:p>
        </w:tc>
      </w:tr>
    </w:tbl>
    <w:p w14:paraId="606CD279" w14:textId="77777777" w:rsidR="00221BA1" w:rsidRPr="007E604C" w:rsidRDefault="00221BA1">
      <w:pPr>
        <w:rPr>
          <w:rFonts w:ascii="Aptos" w:hAnsi="Aptos"/>
        </w:rPr>
      </w:pPr>
    </w:p>
    <w:tbl>
      <w:tblPr>
        <w:tblStyle w:val="TableGrid"/>
        <w:tblW w:w="10065" w:type="dxa"/>
        <w:tblInd w:w="-431" w:type="dxa"/>
        <w:tblLook w:val="04A0" w:firstRow="1" w:lastRow="0" w:firstColumn="1" w:lastColumn="0" w:noHBand="0" w:noVBand="1"/>
      </w:tblPr>
      <w:tblGrid>
        <w:gridCol w:w="10065"/>
      </w:tblGrid>
      <w:tr w:rsidR="00221BA1" w:rsidRPr="007E604C" w14:paraId="45325C78" w14:textId="77777777" w:rsidTr="00221BA1">
        <w:tc>
          <w:tcPr>
            <w:tcW w:w="10065" w:type="dxa"/>
          </w:tcPr>
          <w:p w14:paraId="13F41484" w14:textId="1465302D" w:rsidR="00221BA1" w:rsidRPr="007E604C" w:rsidRDefault="00221BA1">
            <w:pPr>
              <w:rPr>
                <w:rFonts w:ascii="Aptos" w:hAnsi="Aptos"/>
                <w:b/>
                <w:bCs/>
              </w:rPr>
            </w:pPr>
            <w:r w:rsidRPr="007E604C">
              <w:rPr>
                <w:rFonts w:ascii="Aptos" w:hAnsi="Aptos"/>
                <w:b/>
                <w:bCs/>
              </w:rPr>
              <w:t>Other Job Requirements:</w:t>
            </w:r>
          </w:p>
          <w:p w14:paraId="08F5E2CD" w14:textId="77777777" w:rsidR="00221BA1" w:rsidRPr="007E604C" w:rsidRDefault="00221BA1">
            <w:pPr>
              <w:rPr>
                <w:rFonts w:ascii="Aptos" w:hAnsi="Aptos"/>
              </w:rPr>
            </w:pPr>
          </w:p>
          <w:p w14:paraId="06B1F99E" w14:textId="77777777" w:rsidR="00221BA1" w:rsidRPr="007E604C" w:rsidRDefault="00221BA1" w:rsidP="00221BA1">
            <w:pPr>
              <w:pStyle w:val="ListParagraph"/>
              <w:numPr>
                <w:ilvl w:val="0"/>
                <w:numId w:val="2"/>
              </w:numPr>
              <w:rPr>
                <w:rFonts w:ascii="Aptos" w:hAnsi="Aptos"/>
              </w:rPr>
            </w:pPr>
            <w:r w:rsidRPr="007E604C">
              <w:rPr>
                <w:rFonts w:ascii="Aptos" w:hAnsi="Aptos"/>
              </w:rPr>
              <w:t>Act, at all times, in accordance with appropriate legislation and regulations, codes of practice, the provisions of the Academy’s constitution and its policies and procedures.</w:t>
            </w:r>
          </w:p>
          <w:p w14:paraId="685C301D" w14:textId="6233C223" w:rsidR="00221BA1" w:rsidRPr="007E604C" w:rsidRDefault="00221BA1" w:rsidP="00221BA1">
            <w:pPr>
              <w:pStyle w:val="ListParagraph"/>
              <w:numPr>
                <w:ilvl w:val="0"/>
                <w:numId w:val="2"/>
              </w:numPr>
              <w:rPr>
                <w:rFonts w:ascii="Aptos" w:hAnsi="Aptos"/>
              </w:rPr>
            </w:pPr>
            <w:r w:rsidRPr="007E604C">
              <w:rPr>
                <w:rFonts w:ascii="Aptos" w:hAnsi="Aptos"/>
              </w:rPr>
              <w:t>Be active in continued professional development and have an interest and ambition in improving practice.</w:t>
            </w:r>
          </w:p>
          <w:p w14:paraId="653F0F17" w14:textId="77777777" w:rsidR="00221BA1" w:rsidRPr="007E604C" w:rsidRDefault="00221BA1" w:rsidP="00221BA1">
            <w:pPr>
              <w:pStyle w:val="ListParagraph"/>
              <w:numPr>
                <w:ilvl w:val="0"/>
                <w:numId w:val="2"/>
              </w:numPr>
              <w:rPr>
                <w:rFonts w:ascii="Aptos" w:hAnsi="Aptos"/>
              </w:rPr>
            </w:pPr>
            <w:r w:rsidRPr="007E604C">
              <w:rPr>
                <w:rFonts w:ascii="Aptos" w:hAnsi="Aptos"/>
              </w:rPr>
              <w:t xml:space="preserve">Undertake other duties appropriate to the grade of the post. </w:t>
            </w:r>
          </w:p>
          <w:p w14:paraId="268E8934" w14:textId="07AAFD22" w:rsidR="001838FD" w:rsidRPr="007E604C" w:rsidRDefault="001838FD" w:rsidP="001838FD">
            <w:pPr>
              <w:pStyle w:val="ListParagraph"/>
              <w:rPr>
                <w:rFonts w:ascii="Aptos" w:hAnsi="Aptos"/>
              </w:rPr>
            </w:pPr>
          </w:p>
        </w:tc>
      </w:tr>
    </w:tbl>
    <w:p w14:paraId="05CCF8C2" w14:textId="236FCDEB" w:rsidR="00221BA1" w:rsidRPr="007E604C" w:rsidRDefault="00221BA1">
      <w:pPr>
        <w:rPr>
          <w:rFonts w:ascii="Aptos" w:hAnsi="Aptos"/>
        </w:rPr>
      </w:pPr>
    </w:p>
    <w:p w14:paraId="0B1425FA" w14:textId="72DA3F64" w:rsidR="00221BA1" w:rsidRPr="007E604C" w:rsidRDefault="00221BA1">
      <w:pPr>
        <w:rPr>
          <w:rFonts w:ascii="Aptos" w:hAnsi="Aptos"/>
        </w:rPr>
      </w:pPr>
      <w:r w:rsidRPr="007E604C">
        <w:rPr>
          <w:rFonts w:ascii="Aptos" w:hAnsi="Aptos"/>
        </w:rPr>
        <w:t xml:space="preserve">This document outlines the duties required of the post-holder for the time being, to indicate the level of responsibility.  It is not a comprehensive or exclusive list and from time to time, duties may be varied which do not change the level of responsibility or the general character of the job. </w:t>
      </w:r>
    </w:p>
    <w:p w14:paraId="109679E5" w14:textId="77CEF10C" w:rsidR="00221BA1" w:rsidRPr="007E604C" w:rsidRDefault="00221BA1">
      <w:pPr>
        <w:rPr>
          <w:rFonts w:ascii="Aptos" w:hAnsi="Aptos"/>
        </w:rPr>
      </w:pPr>
    </w:p>
    <w:p w14:paraId="590255AA" w14:textId="558D50BF" w:rsidR="00221BA1" w:rsidRPr="007E604C" w:rsidRDefault="00221BA1">
      <w:pPr>
        <w:rPr>
          <w:rFonts w:ascii="Aptos" w:hAnsi="Aptos"/>
        </w:rPr>
      </w:pPr>
      <w:r w:rsidRPr="007E604C">
        <w:rPr>
          <w:rFonts w:ascii="Aptos" w:hAnsi="Aptos"/>
        </w:rPr>
        <w:t xml:space="preserve">This job description may be reviewed at the end of the academic year, or earlier, if necessary.  In addition, it may be amended at any time after consultation with you. </w:t>
      </w:r>
    </w:p>
    <w:p w14:paraId="59FADF47" w14:textId="77777777" w:rsidR="001838FD" w:rsidRDefault="001838FD">
      <w:pPr>
        <w:rPr>
          <w:rFonts w:ascii="Century Gothic" w:hAnsi="Century Gothic"/>
        </w:rPr>
      </w:pPr>
    </w:p>
    <w:p w14:paraId="2ECEA1E5" w14:textId="77777777" w:rsidR="001838FD" w:rsidRPr="00221BA1" w:rsidRDefault="001838FD">
      <w:pPr>
        <w:rPr>
          <w:rFonts w:ascii="Century Gothic" w:hAnsi="Century Gothic"/>
        </w:rPr>
      </w:pPr>
    </w:p>
    <w:sectPr w:rsidR="001838FD" w:rsidRPr="00221BA1" w:rsidSect="00E50EDD">
      <w:headerReference w:type="default" r:id="rId10"/>
      <w:pgSz w:w="11906" w:h="16838"/>
      <w:pgMar w:top="1134" w:right="1440" w:bottom="425"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1E6A" w14:textId="77777777" w:rsidR="00730E25" w:rsidRDefault="00730E25" w:rsidP="008A3F85">
      <w:pPr>
        <w:spacing w:after="0" w:line="240" w:lineRule="auto"/>
      </w:pPr>
      <w:r>
        <w:separator/>
      </w:r>
    </w:p>
  </w:endnote>
  <w:endnote w:type="continuationSeparator" w:id="0">
    <w:p w14:paraId="47BD6044" w14:textId="77777777" w:rsidR="00730E25" w:rsidRDefault="00730E25" w:rsidP="008A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D7C1" w14:textId="77777777" w:rsidR="00730E25" w:rsidRDefault="00730E25" w:rsidP="008A3F85">
      <w:pPr>
        <w:spacing w:after="0" w:line="240" w:lineRule="auto"/>
      </w:pPr>
      <w:r>
        <w:separator/>
      </w:r>
    </w:p>
  </w:footnote>
  <w:footnote w:type="continuationSeparator" w:id="0">
    <w:p w14:paraId="185C5ABE" w14:textId="77777777" w:rsidR="00730E25" w:rsidRDefault="00730E25" w:rsidP="008A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D4F4" w14:textId="1BD9E7E1" w:rsidR="008A3F85" w:rsidRPr="00541291" w:rsidRDefault="008A3F85" w:rsidP="008A3F85">
    <w:pPr>
      <w:pStyle w:val="Header"/>
      <w:jc w:val="right"/>
      <w:rPr>
        <w:rFonts w:ascii="Aptos" w:hAnsi="Aptos"/>
      </w:rPr>
    </w:pPr>
    <w:r w:rsidRPr="00541291">
      <w:rPr>
        <w:rFonts w:ascii="Aptos" w:hAnsi="Aptos"/>
        <w:b/>
        <w:bCs/>
      </w:rPr>
      <w:t xml:space="preserve">Job Description                         </w:t>
    </w:r>
    <w:r w:rsidR="00221BA1" w:rsidRPr="00541291">
      <w:rPr>
        <w:rFonts w:ascii="Aptos" w:hAnsi="Aptos"/>
        <w:b/>
        <w:bCs/>
      </w:rPr>
      <w:t xml:space="preserve">                                             </w:t>
    </w:r>
    <w:r w:rsidRPr="00541291">
      <w:rPr>
        <w:rFonts w:ascii="Aptos" w:hAnsi="Aptos"/>
      </w:rPr>
      <w:tab/>
    </w:r>
  </w:p>
  <w:p w14:paraId="13B497F9" w14:textId="5F7D7833" w:rsidR="008A3F85" w:rsidRDefault="008A3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7641"/>
    <w:multiLevelType w:val="hybridMultilevel"/>
    <w:tmpl w:val="D3CA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80249"/>
    <w:multiLevelType w:val="hybridMultilevel"/>
    <w:tmpl w:val="245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407858">
    <w:abstractNumId w:val="0"/>
  </w:num>
  <w:num w:numId="2" w16cid:durableId="79988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FA"/>
    <w:rsid w:val="00036CB6"/>
    <w:rsid w:val="000F07FC"/>
    <w:rsid w:val="001838FD"/>
    <w:rsid w:val="00197C09"/>
    <w:rsid w:val="00211CFE"/>
    <w:rsid w:val="00221BA1"/>
    <w:rsid w:val="00243AE8"/>
    <w:rsid w:val="00276917"/>
    <w:rsid w:val="002B3D31"/>
    <w:rsid w:val="0031796F"/>
    <w:rsid w:val="0036167C"/>
    <w:rsid w:val="003B14F3"/>
    <w:rsid w:val="00414099"/>
    <w:rsid w:val="004F060F"/>
    <w:rsid w:val="00541291"/>
    <w:rsid w:val="005603E7"/>
    <w:rsid w:val="005D3B00"/>
    <w:rsid w:val="005E6CF7"/>
    <w:rsid w:val="006761C8"/>
    <w:rsid w:val="00730E25"/>
    <w:rsid w:val="007753E2"/>
    <w:rsid w:val="007E4A62"/>
    <w:rsid w:val="007E604C"/>
    <w:rsid w:val="008146C8"/>
    <w:rsid w:val="0083069E"/>
    <w:rsid w:val="00866E02"/>
    <w:rsid w:val="00867EAB"/>
    <w:rsid w:val="008A3F85"/>
    <w:rsid w:val="008B37C8"/>
    <w:rsid w:val="008E7D11"/>
    <w:rsid w:val="009072FB"/>
    <w:rsid w:val="00911CDE"/>
    <w:rsid w:val="00937577"/>
    <w:rsid w:val="009F12FA"/>
    <w:rsid w:val="00A06796"/>
    <w:rsid w:val="00A54B02"/>
    <w:rsid w:val="00AA51E8"/>
    <w:rsid w:val="00AF30FF"/>
    <w:rsid w:val="00B074C2"/>
    <w:rsid w:val="00BC43A7"/>
    <w:rsid w:val="00C61180"/>
    <w:rsid w:val="00C955B6"/>
    <w:rsid w:val="00CC5A93"/>
    <w:rsid w:val="00D766DB"/>
    <w:rsid w:val="00E50EDD"/>
    <w:rsid w:val="00E609B1"/>
    <w:rsid w:val="00F57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EF01"/>
  <w15:chartTrackingRefBased/>
  <w15:docId w15:val="{604988BE-60A5-4A42-8FEB-7B85060F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FA"/>
    <w:pPr>
      <w:ind w:left="720"/>
      <w:contextualSpacing/>
    </w:pPr>
  </w:style>
  <w:style w:type="paragraph" w:styleId="Header">
    <w:name w:val="header"/>
    <w:basedOn w:val="Normal"/>
    <w:link w:val="HeaderChar"/>
    <w:uiPriority w:val="99"/>
    <w:unhideWhenUsed/>
    <w:rsid w:val="008A3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F85"/>
  </w:style>
  <w:style w:type="paragraph" w:styleId="Footer">
    <w:name w:val="footer"/>
    <w:basedOn w:val="Normal"/>
    <w:link w:val="FooterChar"/>
    <w:uiPriority w:val="99"/>
    <w:unhideWhenUsed/>
    <w:rsid w:val="008A3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7" ma:contentTypeDescription="Create a new document." ma:contentTypeScope="" ma:versionID="0a27ad23c5bfd6f40414be18e29e3397">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2102cca6a660e5f4e7f63e148709e934"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b7d940-933d-442d-b09f-bec800a3f275" xsi:nil="true"/>
  </documentManagement>
</p:properties>
</file>

<file path=customXml/itemProps1.xml><?xml version="1.0" encoding="utf-8"?>
<ds:datastoreItem xmlns:ds="http://schemas.openxmlformats.org/officeDocument/2006/customXml" ds:itemID="{829FA48C-9C16-45CF-80BB-DBA81F5C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E873C-F2EB-4619-9BB3-3862A665B1BA}">
  <ds:schemaRefs>
    <ds:schemaRef ds:uri="http://schemas.microsoft.com/sharepoint/v3/contenttype/forms"/>
  </ds:schemaRefs>
</ds:datastoreItem>
</file>

<file path=customXml/itemProps3.xml><?xml version="1.0" encoding="utf-8"?>
<ds:datastoreItem xmlns:ds="http://schemas.openxmlformats.org/officeDocument/2006/customXml" ds:itemID="{309C9C2F-AB0F-4177-A204-AA10230C8753}">
  <ds:schemaRefs>
    <ds:schemaRef ds:uri="http://schemas.microsoft.com/office/2006/metadata/properties"/>
    <ds:schemaRef ds:uri="http://schemas.microsoft.com/office/infopath/2007/PartnerControls"/>
    <ds:schemaRef ds:uri="deb7d940-933d-442d-b09f-bec800a3f2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Warren</dc:creator>
  <cp:keywords/>
  <dc:description/>
  <cp:lastModifiedBy>Donna Harrison</cp:lastModifiedBy>
  <cp:revision>6</cp:revision>
  <dcterms:created xsi:type="dcterms:W3CDTF">2026-01-09T12:20:00Z</dcterms:created>
  <dcterms:modified xsi:type="dcterms:W3CDTF">2026-01-28T15:32:00Z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