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6"/>
        <w:gridCol w:w="3841"/>
        <w:gridCol w:w="4227"/>
      </w:tblGrid>
      <w:tr w:rsidR="00D70996" w14:paraId="7BB7396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28310" w14:textId="6248133F" w:rsidR="00D70996" w:rsidRDefault="00D70996" w:rsidP="00D70996">
            <w:pPr>
              <w:rPr>
                <w:b/>
                <w:bCs/>
              </w:rPr>
            </w:pPr>
            <w:r>
              <w:rPr>
                <w:rStyle w:val="Strong"/>
              </w:rPr>
              <w:t>Criteria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AA725" w14:textId="5181DFB8" w:rsidR="00D70996" w:rsidRDefault="00D70996" w:rsidP="00D70996">
            <w:pPr>
              <w:rPr>
                <w:b/>
                <w:bCs/>
              </w:rPr>
            </w:pPr>
            <w:r>
              <w:rPr>
                <w:rStyle w:val="Strong"/>
              </w:rPr>
              <w:t>Essential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B2855" w14:textId="3E228B17" w:rsidR="00D70996" w:rsidRDefault="00D70996" w:rsidP="00D70996">
            <w:pPr>
              <w:rPr>
                <w:b/>
                <w:bCs/>
              </w:rPr>
            </w:pPr>
            <w:r>
              <w:rPr>
                <w:rStyle w:val="Strong"/>
              </w:rPr>
              <w:t>Desirable</w:t>
            </w:r>
          </w:p>
        </w:tc>
      </w:tr>
      <w:tr w:rsidR="00D70996" w14:paraId="6A6EA45F" w14:textId="77777777" w:rsidTr="00D70996">
        <w:tblPrEx>
          <w:tblCellMar>
            <w:top w:w="0" w:type="dxa"/>
            <w:bottom w:w="0" w:type="dxa"/>
          </w:tblCellMar>
        </w:tblPrEx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19C8D" w14:textId="587F206C" w:rsidR="00D70996" w:rsidRDefault="00D70996" w:rsidP="00D70996">
            <w:pPr>
              <w:spacing w:line="240" w:lineRule="auto"/>
            </w:pPr>
            <w:r>
              <w:rPr>
                <w:rStyle w:val="Strong"/>
              </w:rPr>
              <w:t>Qualifications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52CC5" w14:textId="77777777" w:rsidR="00D70996" w:rsidRDefault="00D70996" w:rsidP="00D70996">
            <w:pPr>
              <w:spacing w:line="240" w:lineRule="auto"/>
            </w:pPr>
            <w:r>
              <w:t>• Degree or recognised qualification in Speech and Language Therapy.</w:t>
            </w:r>
          </w:p>
          <w:p w14:paraId="077FA45E" w14:textId="6383E1AA" w:rsidR="00D70996" w:rsidRDefault="00D70996" w:rsidP="00D70996">
            <w:pPr>
              <w:spacing w:line="240" w:lineRule="auto"/>
            </w:pPr>
            <w:r>
              <w:t>• Current HCPC registration.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49DA4" w14:textId="77777777" w:rsidR="00D70996" w:rsidRDefault="00D70996" w:rsidP="00D70996">
            <w:pPr>
              <w:spacing w:line="240" w:lineRule="auto"/>
            </w:pPr>
            <w:r>
              <w:t>• Membership of the Royal College of Speech and Language Therapists (RCSLT).</w:t>
            </w:r>
          </w:p>
          <w:p w14:paraId="46D16724" w14:textId="57B48A90" w:rsidR="00D70996" w:rsidRDefault="00D70996" w:rsidP="00D70996">
            <w:pPr>
              <w:spacing w:line="240" w:lineRule="auto"/>
            </w:pPr>
            <w:r>
              <w:t>• Additional postgraduate training in SEND, Autism, SEMH, AAC or other relevant communication needs.</w:t>
            </w:r>
          </w:p>
        </w:tc>
      </w:tr>
      <w:tr w:rsidR="00D70996" w14:paraId="5B6C533F" w14:textId="77777777" w:rsidTr="00D70996">
        <w:tblPrEx>
          <w:tblCellMar>
            <w:top w:w="0" w:type="dxa"/>
            <w:bottom w:w="0" w:type="dxa"/>
          </w:tblCellMar>
        </w:tblPrEx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4B79D" w14:textId="4EC0B2BA" w:rsidR="00D70996" w:rsidRDefault="00D70996" w:rsidP="00D70996">
            <w:r>
              <w:rPr>
                <w:rStyle w:val="Strong"/>
              </w:rPr>
              <w:t>Experience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1FAD1" w14:textId="77777777" w:rsidR="00D70996" w:rsidRDefault="00D70996" w:rsidP="00D70996">
            <w:r>
              <w:t>• Experience assessing and supporting children and young people with speech, language and communication needs.</w:t>
            </w:r>
          </w:p>
          <w:p w14:paraId="5EB51DF5" w14:textId="77777777" w:rsidR="00D70996" w:rsidRDefault="00D70996" w:rsidP="00D70996">
            <w:r>
              <w:t>• Experience planning, delivering and evaluating evidence-informed interventions.</w:t>
            </w:r>
          </w:p>
          <w:p w14:paraId="1724D97B" w14:textId="319FE8DC" w:rsidR="00D70996" w:rsidRDefault="00D70996" w:rsidP="00D70996">
            <w:r>
              <w:t>• Experience working collaboratively with families, education staff and other professionals.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B8FFC" w14:textId="77777777" w:rsidR="00D70996" w:rsidRDefault="00D70996" w:rsidP="00D70996">
            <w:r>
              <w:t>• Experience within SEND, alternative provision, specialist education or community settings.</w:t>
            </w:r>
          </w:p>
          <w:p w14:paraId="63FBA1B9" w14:textId="77777777" w:rsidR="00D70996" w:rsidRDefault="00D70996" w:rsidP="00D70996">
            <w:r>
              <w:t>• Experience contributing to Education, Health and Care Needs Assessments (EHCNAs), EHCPs and annual reviews.</w:t>
            </w:r>
          </w:p>
          <w:p w14:paraId="7BB7F62F" w14:textId="3ABF9D20" w:rsidR="00D70996" w:rsidRDefault="00D70996" w:rsidP="00D70996">
            <w:r>
              <w:t>• Experience supporting learners with Autism, developmental language disorder (DLD), SEMH and EBSA.</w:t>
            </w:r>
          </w:p>
        </w:tc>
      </w:tr>
      <w:tr w:rsidR="00D70996" w14:paraId="3D26CC75" w14:textId="77777777" w:rsidTr="00D70996">
        <w:tblPrEx>
          <w:tblCellMar>
            <w:top w:w="0" w:type="dxa"/>
            <w:bottom w:w="0" w:type="dxa"/>
          </w:tblCellMar>
        </w:tblPrEx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2808F" w14:textId="37E90BAA" w:rsidR="00D70996" w:rsidRDefault="00D70996" w:rsidP="00D70996">
            <w:r>
              <w:rPr>
                <w:rStyle w:val="Strong"/>
              </w:rPr>
              <w:t>Knowledge &amp; Understanding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511E4" w14:textId="77777777" w:rsidR="00D70996" w:rsidRDefault="00D70996" w:rsidP="00D70996">
            <w:r>
              <w:t>• Sound knowledge of speech, language and communication needs across childhood and adolescence.</w:t>
            </w:r>
          </w:p>
          <w:p w14:paraId="4F909A1F" w14:textId="77777777" w:rsidR="00D70996" w:rsidRDefault="00D70996" w:rsidP="00D70996">
            <w:r>
              <w:t>• Understanding of child development, SEND legislation, safeguarding and inclusive practice.</w:t>
            </w:r>
          </w:p>
          <w:p w14:paraId="71CAE4A2" w14:textId="19CC5975" w:rsidR="00D70996" w:rsidRDefault="00D70996" w:rsidP="00D70996">
            <w:r>
              <w:t>• Knowledge of communication strategies that support learners to access education.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3279C" w14:textId="77777777" w:rsidR="00D70996" w:rsidRDefault="00D70996" w:rsidP="00D70996">
            <w:r>
              <w:t>• Understanding of trauma-informed practice, SEMH, alternative provision and neurodiversity-affirming approaches.</w:t>
            </w:r>
          </w:p>
          <w:p w14:paraId="0FB21044" w14:textId="79756F13" w:rsidR="00D70996" w:rsidRDefault="00D70996" w:rsidP="00D70996">
            <w:r>
              <w:t>• Knowledge of assistive technology and augmentative and alternative communication (AAC).</w:t>
            </w:r>
          </w:p>
        </w:tc>
      </w:tr>
      <w:tr w:rsidR="00D70996" w14:paraId="6FBC7DCE" w14:textId="77777777" w:rsidTr="00D70996">
        <w:tblPrEx>
          <w:tblCellMar>
            <w:top w:w="0" w:type="dxa"/>
            <w:bottom w:w="0" w:type="dxa"/>
          </w:tblCellMar>
        </w:tblPrEx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E707C" w14:textId="3539EE20" w:rsidR="00D70996" w:rsidRDefault="00D70996" w:rsidP="00D70996">
            <w:r>
              <w:rPr>
                <w:rStyle w:val="Strong"/>
              </w:rPr>
              <w:t>Skills &amp; Abilities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92B82" w14:textId="77777777" w:rsidR="00D70996" w:rsidRDefault="00D70996" w:rsidP="00D70996">
            <w:r>
              <w:t>• Excellent communication, assessment and report-writing skills</w:t>
            </w:r>
          </w:p>
          <w:p w14:paraId="7A22C6FB" w14:textId="77777777" w:rsidR="00D70996" w:rsidRDefault="00D70996" w:rsidP="00D70996">
            <w:r>
              <w:t>• Ability to build positive relationships with learners, families and professionals.</w:t>
            </w:r>
          </w:p>
          <w:p w14:paraId="3819B2EA" w14:textId="77777777" w:rsidR="00D70996" w:rsidRDefault="00D70996" w:rsidP="00D70996">
            <w:r>
              <w:lastRenderedPageBreak/>
              <w:t>• Ability to manage a varied caseload, prioritise effectively and work independently while contributing to a multidisciplinary team.</w:t>
            </w:r>
          </w:p>
          <w:p w14:paraId="51ADFF91" w14:textId="3422DA33" w:rsidR="00D70996" w:rsidRDefault="00D70996" w:rsidP="00D70996">
            <w:r>
              <w:t>• Strong organisational and IT skills.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7598A" w14:textId="77777777" w:rsidR="00D70996" w:rsidRDefault="00D70996" w:rsidP="00D70996">
            <w:r>
              <w:lastRenderedPageBreak/>
              <w:t>• Experience delivering training, coaching or consultation to education staff.</w:t>
            </w:r>
          </w:p>
          <w:p w14:paraId="1B323233" w14:textId="23388086" w:rsidR="00D70996" w:rsidRDefault="00D70996" w:rsidP="00D70996">
            <w:r>
              <w:t>• Experience creating communication-friendly learning environments.</w:t>
            </w:r>
          </w:p>
        </w:tc>
      </w:tr>
      <w:tr w:rsidR="00D70996" w14:paraId="73868FA1" w14:textId="77777777" w:rsidTr="00D70996">
        <w:tblPrEx>
          <w:tblCellMar>
            <w:top w:w="0" w:type="dxa"/>
            <w:bottom w:w="0" w:type="dxa"/>
          </w:tblCellMar>
        </w:tblPrEx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33947" w14:textId="7B7F06D4" w:rsidR="00D70996" w:rsidRDefault="00D70996" w:rsidP="00D70996">
            <w:r>
              <w:rPr>
                <w:rStyle w:val="Strong"/>
              </w:rPr>
              <w:lastRenderedPageBreak/>
              <w:t>Personal Attributes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17CF5" w14:textId="77777777" w:rsidR="00D70996" w:rsidRDefault="00D70996" w:rsidP="00D70996">
            <w:r>
              <w:t xml:space="preserve">• Compassionate, adaptable and </w:t>
            </w:r>
            <w:proofErr w:type="gramStart"/>
            <w:r>
              <w:t>learner-centred</w:t>
            </w:r>
            <w:proofErr w:type="gramEnd"/>
            <w:r>
              <w:t>.</w:t>
            </w:r>
          </w:p>
          <w:p w14:paraId="2F5FB7FD" w14:textId="77777777" w:rsidR="00D70996" w:rsidRDefault="00D70996" w:rsidP="00D70996">
            <w:r>
              <w:t>• Committed to inclusion and improving outcomes for children and young people.</w:t>
            </w:r>
          </w:p>
          <w:p w14:paraId="212932EF" w14:textId="3613C455" w:rsidR="00D70996" w:rsidRDefault="00D70996" w:rsidP="00D70996">
            <w:r>
              <w:t>• Flexible, resilient and able to respond positively to changing learner needs.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926AD" w14:textId="77777777" w:rsidR="00D70996" w:rsidRDefault="00D70996" w:rsidP="00D70996">
            <w:r>
              <w:t>• Creative, solution-focused approach to practice.</w:t>
            </w:r>
          </w:p>
          <w:p w14:paraId="4493C202" w14:textId="062226DA" w:rsidR="00D70996" w:rsidRDefault="00D70996" w:rsidP="00D70996">
            <w:r>
              <w:t>• Commitment to continuous professional development and service improvement.</w:t>
            </w:r>
          </w:p>
        </w:tc>
      </w:tr>
      <w:tr w:rsidR="00D70996" w14:paraId="34799AAF" w14:textId="77777777" w:rsidTr="00D70996">
        <w:tblPrEx>
          <w:tblCellMar>
            <w:top w:w="0" w:type="dxa"/>
            <w:bottom w:w="0" w:type="dxa"/>
          </w:tblCellMar>
        </w:tblPrEx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10994" w14:textId="6C871D9C" w:rsidR="00D70996" w:rsidRDefault="00D70996" w:rsidP="00D70996">
            <w:r>
              <w:rPr>
                <w:rStyle w:val="Strong"/>
              </w:rPr>
              <w:t>Other Requirements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684AB" w14:textId="77777777" w:rsidR="00D70996" w:rsidRDefault="00D70996" w:rsidP="00D70996">
            <w:r>
              <w:t>• Enhanced DBS clearance and satisfactory pre-employment checks.</w:t>
            </w:r>
          </w:p>
          <w:p w14:paraId="6037AD99" w14:textId="77777777" w:rsidR="00D70996" w:rsidRDefault="00D70996" w:rsidP="00D70996">
            <w:r>
              <w:t>• Commitment to safeguarding and promoting the welfare of children and young people.</w:t>
            </w:r>
          </w:p>
          <w:p w14:paraId="3619306F" w14:textId="039418B1" w:rsidR="00D70996" w:rsidRDefault="00D70996" w:rsidP="00D70996">
            <w:r>
              <w:t xml:space="preserve">• Ability to travel to learner </w:t>
            </w:r>
            <w:proofErr w:type="gramStart"/>
            <w:r>
              <w:t>locations  as</w:t>
            </w:r>
            <w:proofErr w:type="gramEnd"/>
            <w:r>
              <w:t xml:space="preserve"> required.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3D89A" w14:textId="3C781D54" w:rsidR="00D70996" w:rsidRDefault="00D70996" w:rsidP="00D70996">
            <w:r>
              <w:t>• Full UK driving licence and access to a vehicle.</w:t>
            </w:r>
          </w:p>
        </w:tc>
      </w:tr>
    </w:tbl>
    <w:p w14:paraId="4FAFAC34" w14:textId="77777777" w:rsidR="00D70996" w:rsidRDefault="00D70996"/>
    <w:p w14:paraId="1812E14F" w14:textId="77777777" w:rsidR="00D70996" w:rsidRDefault="00D70996"/>
    <w:p w14:paraId="38300677" w14:textId="216E1B1D" w:rsidR="005A6892" w:rsidRDefault="00E73F79">
      <w:r>
        <w:t>All staff within </w:t>
      </w:r>
      <w:proofErr w:type="spellStart"/>
      <w:r>
        <w:t>Muve</w:t>
      </w:r>
      <w:proofErr w:type="spellEnd"/>
      <w:r>
        <w:t> Futures are expected to promote and safeguard the welfare of children and young people you are responsible for, or </w:t>
      </w:r>
      <w:proofErr w:type="gramStart"/>
      <w:r>
        <w:t>come into contact with</w:t>
      </w:r>
      <w:proofErr w:type="gramEnd"/>
      <w:r>
        <w:t>, in accordance with our Safeguarding Policies. </w:t>
      </w:r>
    </w:p>
    <w:p w14:paraId="2574C35F" w14:textId="77777777" w:rsidR="005A6892" w:rsidRDefault="005A6892"/>
    <w:sectPr w:rsidR="005A6892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1DD6" w14:textId="77777777" w:rsidR="00E73F79" w:rsidRDefault="00E73F79">
      <w:pPr>
        <w:spacing w:after="0" w:line="240" w:lineRule="auto"/>
      </w:pPr>
      <w:r>
        <w:separator/>
      </w:r>
    </w:p>
  </w:endnote>
  <w:endnote w:type="continuationSeparator" w:id="0">
    <w:p w14:paraId="3139C62E" w14:textId="77777777" w:rsidR="00E73F79" w:rsidRDefault="00E7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99FA" w14:textId="77777777" w:rsidR="00E73F79" w:rsidRDefault="00E73F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036BCB" w14:textId="77777777" w:rsidR="00E73F79" w:rsidRDefault="00E7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FC25" w14:textId="63B8DF56" w:rsidR="00D70996" w:rsidRPr="00D70996" w:rsidRDefault="00D70996">
    <w:pPr>
      <w:pStyle w:val="Header"/>
      <w:rPr>
        <w:b/>
        <w:bCs/>
      </w:rPr>
    </w:pPr>
    <w:r>
      <w:rPr>
        <w:noProof/>
      </w:rPr>
      <w:drawing>
        <wp:inline distT="0" distB="0" distL="0" distR="0" wp14:anchorId="5CE3F0AD" wp14:editId="3C542875">
          <wp:extent cx="990600" cy="990600"/>
          <wp:effectExtent l="0" t="0" r="0" b="0"/>
          <wp:docPr id="12478362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36244" name="Picture 1247836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b/>
        <w:bCs/>
      </w:rPr>
      <w:t>Person Specification: Speech and Language Therapist</w:t>
    </w:r>
  </w:p>
  <w:p w14:paraId="6A16CCC8" w14:textId="77777777" w:rsidR="00D70996" w:rsidRDefault="00D70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6892"/>
    <w:rsid w:val="00593562"/>
    <w:rsid w:val="005A6892"/>
    <w:rsid w:val="00D70996"/>
    <w:rsid w:val="00E7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96335"/>
  <w15:docId w15:val="{FA5F2875-9123-4DD8-8AB7-1845E682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Strong">
    <w:name w:val="Strong"/>
    <w:basedOn w:val="DefaultParagraphFont"/>
    <w:uiPriority w:val="22"/>
    <w:qFormat/>
    <w:rsid w:val="00D709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70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6"/>
  </w:style>
  <w:style w:type="paragraph" w:styleId="Footer">
    <w:name w:val="footer"/>
    <w:basedOn w:val="Normal"/>
    <w:link w:val="FooterChar"/>
    <w:uiPriority w:val="99"/>
    <w:unhideWhenUsed/>
    <w:rsid w:val="00D70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4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October</dc:creator>
  <dc:description/>
  <cp:lastModifiedBy>Rachel Hayward</cp:lastModifiedBy>
  <cp:revision>2</cp:revision>
  <dcterms:created xsi:type="dcterms:W3CDTF">2026-07-04T12:56:00Z</dcterms:created>
  <dcterms:modified xsi:type="dcterms:W3CDTF">2026-07-04T12:56:00Z</dcterms:modified>
</cp:coreProperties>
</file>