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22944E6C" w:rsidR="0058576B" w:rsidRPr="00A91693" w:rsidRDefault="00CA0330"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Head of School &amp; Assistant Headteachers</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073B1413" w:rsidR="0058576B" w:rsidRPr="00A91693" w:rsidRDefault="00CA0330"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CA0330">
              <w:rPr>
                <w:rFonts w:asciiTheme="majorHAnsi" w:hAnsiTheme="majorHAnsi" w:cstheme="majorHAnsi"/>
                <w:sz w:val="22"/>
                <w:szCs w:val="22"/>
              </w:rPr>
              <w:t>High Street Primary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30344180"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w:t>
            </w:r>
            <w:r w:rsidR="00CA0330">
              <w:rPr>
                <w:rFonts w:asciiTheme="majorHAnsi" w:hAnsiTheme="majorHAnsi" w:cstheme="majorHAnsi"/>
                <w:sz w:val="22"/>
                <w:szCs w:val="22"/>
              </w:rPr>
              <w:t xml:space="preserve"> of School</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lastRenderedPageBreak/>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 xml:space="preserve">Learners develop detailed knowledge and skills across the curriculum and, as a result, achieve well. Where relevant, this is reflected in results from national tests and examinations, or in the </w:t>
      </w:r>
      <w:r w:rsidRPr="005D3BE8">
        <w:rPr>
          <w:rFonts w:asciiTheme="majorHAnsi" w:eastAsia="Times New Roman" w:hAnsiTheme="majorHAnsi" w:cstheme="majorHAnsi"/>
          <w:color w:val="000000" w:themeColor="text1"/>
          <w:sz w:val="22"/>
          <w:szCs w:val="22"/>
        </w:rPr>
        <w:lastRenderedPageBreak/>
        <w:t>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A572" w14:textId="77777777" w:rsidR="00696FBC" w:rsidRDefault="00696FBC" w:rsidP="00AE7D51">
      <w:r>
        <w:separator/>
      </w:r>
    </w:p>
  </w:endnote>
  <w:endnote w:type="continuationSeparator" w:id="0">
    <w:p w14:paraId="645D91F1" w14:textId="77777777" w:rsidR="00696FBC" w:rsidRDefault="00696FBC" w:rsidP="00AE7D51">
      <w:r>
        <w:continuationSeparator/>
      </w:r>
    </w:p>
  </w:endnote>
  <w:endnote w:type="continuationNotice" w:id="1">
    <w:p w14:paraId="558B6E87" w14:textId="77777777" w:rsidR="00696FBC" w:rsidRDefault="00696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C650" w14:textId="77777777" w:rsidR="00696FBC" w:rsidRDefault="00696FBC" w:rsidP="00AE7D51">
      <w:r>
        <w:separator/>
      </w:r>
    </w:p>
  </w:footnote>
  <w:footnote w:type="continuationSeparator" w:id="0">
    <w:p w14:paraId="0526FFE6" w14:textId="77777777" w:rsidR="00696FBC" w:rsidRDefault="00696FBC" w:rsidP="00AE7D51">
      <w:r>
        <w:continuationSeparator/>
      </w:r>
    </w:p>
  </w:footnote>
  <w:footnote w:type="continuationNotice" w:id="1">
    <w:p w14:paraId="146DC3D2" w14:textId="77777777" w:rsidR="00696FBC" w:rsidRDefault="00696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F306F4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4"/>
  </w:num>
  <w:num w:numId="6" w16cid:durableId="1014381590">
    <w:abstractNumId w:val="48"/>
  </w:num>
  <w:num w:numId="7" w16cid:durableId="911087772">
    <w:abstractNumId w:val="18"/>
  </w:num>
  <w:num w:numId="8" w16cid:durableId="687219291">
    <w:abstractNumId w:val="32"/>
  </w:num>
  <w:num w:numId="9" w16cid:durableId="658270635">
    <w:abstractNumId w:val="28"/>
  </w:num>
  <w:num w:numId="10" w16cid:durableId="1175413193">
    <w:abstractNumId w:val="9"/>
  </w:num>
  <w:num w:numId="11" w16cid:durableId="819081305">
    <w:abstractNumId w:val="6"/>
  </w:num>
  <w:num w:numId="12" w16cid:durableId="1599290486">
    <w:abstractNumId w:val="7"/>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5"/>
  </w:num>
  <w:num w:numId="20" w16cid:durableId="1437556540">
    <w:abstractNumId w:val="11"/>
  </w:num>
  <w:num w:numId="21" w16cid:durableId="1155872603">
    <w:abstractNumId w:val="19"/>
  </w:num>
  <w:num w:numId="22" w16cid:durableId="248537642">
    <w:abstractNumId w:val="8"/>
  </w:num>
  <w:num w:numId="23" w16cid:durableId="1131167669">
    <w:abstractNumId w:val="23"/>
  </w:num>
  <w:num w:numId="24" w16cid:durableId="16780345">
    <w:abstractNumId w:val="27"/>
  </w:num>
  <w:num w:numId="25" w16cid:durableId="137848927">
    <w:abstractNumId w:val="49"/>
  </w:num>
  <w:num w:numId="26" w16cid:durableId="265886870">
    <w:abstractNumId w:val="20"/>
  </w:num>
  <w:num w:numId="27" w16cid:durableId="1300307758">
    <w:abstractNumId w:val="38"/>
  </w:num>
  <w:num w:numId="28" w16cid:durableId="1236086782">
    <w:abstractNumId w:val="2"/>
  </w:num>
  <w:num w:numId="29" w16cid:durableId="884608476">
    <w:abstractNumId w:val="21"/>
  </w:num>
  <w:num w:numId="30" w16cid:durableId="711809390">
    <w:abstractNumId w:val="29"/>
  </w:num>
  <w:num w:numId="31" w16cid:durableId="1935278642">
    <w:abstractNumId w:val="10"/>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3"/>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2"/>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7"/>
  </w:num>
  <w:num w:numId="47" w16cid:durableId="1960993421">
    <w:abstractNumId w:val="45"/>
  </w:num>
  <w:num w:numId="48" w16cid:durableId="1363824082">
    <w:abstractNumId w:val="46"/>
  </w:num>
  <w:num w:numId="49" w16cid:durableId="161429363">
    <w:abstractNumId w:val="1"/>
  </w:num>
  <w:num w:numId="50"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202102"/>
    <w:rsid w:val="00205332"/>
    <w:rsid w:val="002173E9"/>
    <w:rsid w:val="0023167A"/>
    <w:rsid w:val="0023484B"/>
    <w:rsid w:val="00245E63"/>
    <w:rsid w:val="00247B33"/>
    <w:rsid w:val="0026442D"/>
    <w:rsid w:val="002721AB"/>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D7780"/>
    <w:rsid w:val="003E6860"/>
    <w:rsid w:val="003F3B5A"/>
    <w:rsid w:val="004005AC"/>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338F"/>
    <w:rsid w:val="00544692"/>
    <w:rsid w:val="00553BF7"/>
    <w:rsid w:val="0055758E"/>
    <w:rsid w:val="00570EE0"/>
    <w:rsid w:val="00572987"/>
    <w:rsid w:val="00576CC1"/>
    <w:rsid w:val="0058576B"/>
    <w:rsid w:val="005859C0"/>
    <w:rsid w:val="00587326"/>
    <w:rsid w:val="005A12BE"/>
    <w:rsid w:val="005A2BC5"/>
    <w:rsid w:val="005B70F5"/>
    <w:rsid w:val="005D3BE8"/>
    <w:rsid w:val="005D3E46"/>
    <w:rsid w:val="005D5039"/>
    <w:rsid w:val="005F4A53"/>
    <w:rsid w:val="005F5DA3"/>
    <w:rsid w:val="00611074"/>
    <w:rsid w:val="006457C6"/>
    <w:rsid w:val="00645D9E"/>
    <w:rsid w:val="00652D34"/>
    <w:rsid w:val="0065799F"/>
    <w:rsid w:val="00660F6A"/>
    <w:rsid w:val="00673280"/>
    <w:rsid w:val="00694E00"/>
    <w:rsid w:val="00696FBC"/>
    <w:rsid w:val="006A3A7F"/>
    <w:rsid w:val="006A491D"/>
    <w:rsid w:val="006A57B4"/>
    <w:rsid w:val="006B5E99"/>
    <w:rsid w:val="006C61BE"/>
    <w:rsid w:val="006D458F"/>
    <w:rsid w:val="006D72F0"/>
    <w:rsid w:val="006F717A"/>
    <w:rsid w:val="007120BB"/>
    <w:rsid w:val="00713530"/>
    <w:rsid w:val="00727056"/>
    <w:rsid w:val="00742E8C"/>
    <w:rsid w:val="0076095B"/>
    <w:rsid w:val="007844E2"/>
    <w:rsid w:val="00790853"/>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34CA1"/>
    <w:rsid w:val="00856BDF"/>
    <w:rsid w:val="008613C7"/>
    <w:rsid w:val="0087378C"/>
    <w:rsid w:val="008872BA"/>
    <w:rsid w:val="0089631D"/>
    <w:rsid w:val="008A0E18"/>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1754"/>
    <w:rsid w:val="00B65AB9"/>
    <w:rsid w:val="00B81070"/>
    <w:rsid w:val="00B959B5"/>
    <w:rsid w:val="00BA2C6B"/>
    <w:rsid w:val="00BA44EE"/>
    <w:rsid w:val="00BB6E58"/>
    <w:rsid w:val="00BC69BF"/>
    <w:rsid w:val="00BD1315"/>
    <w:rsid w:val="00BD39A3"/>
    <w:rsid w:val="00BD3B5A"/>
    <w:rsid w:val="00BD558B"/>
    <w:rsid w:val="00BD6B99"/>
    <w:rsid w:val="00C2083C"/>
    <w:rsid w:val="00C4666F"/>
    <w:rsid w:val="00C50C3F"/>
    <w:rsid w:val="00C6389E"/>
    <w:rsid w:val="00C64BE7"/>
    <w:rsid w:val="00C85ADE"/>
    <w:rsid w:val="00C87CC1"/>
    <w:rsid w:val="00C92960"/>
    <w:rsid w:val="00CA0330"/>
    <w:rsid w:val="00CA47D6"/>
    <w:rsid w:val="00CB4EDD"/>
    <w:rsid w:val="00CC3758"/>
    <w:rsid w:val="00CC6548"/>
    <w:rsid w:val="00CE2370"/>
    <w:rsid w:val="00CE519E"/>
    <w:rsid w:val="00D00DC3"/>
    <w:rsid w:val="00D02557"/>
    <w:rsid w:val="00D13AD6"/>
    <w:rsid w:val="00D53FC9"/>
    <w:rsid w:val="00D5456E"/>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711D4"/>
    <w:rsid w:val="00E82CF9"/>
    <w:rsid w:val="00E85833"/>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99830-79DF-453D-833A-C337EFA71C82}">
  <ds:schemaRefs>
    <ds:schemaRef ds:uri="http://schemas.microsoft.com/sharepoint/v3/contenttype/forms"/>
  </ds:schemaRefs>
</ds:datastoreItem>
</file>

<file path=customXml/itemProps2.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67DD1D-BAB7-4885-A354-58904169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12375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Tom Peers</cp:lastModifiedBy>
  <cp:revision>2</cp:revision>
  <cp:lastPrinted>2022-12-07T06:40:00Z</cp:lastPrinted>
  <dcterms:created xsi:type="dcterms:W3CDTF">2026-04-10T10:40:00Z</dcterms:created>
  <dcterms:modified xsi:type="dcterms:W3CDTF">2026-04-10T10:40:00Z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4797700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