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E4D" w14:textId="77777777" w:rsidR="00F94EBC" w:rsidRDefault="00000000">
      <w:pPr>
        <w:ind w:left="170" w:right="227"/>
        <w:jc w:val="center"/>
        <w:rPr>
          <w:rFonts w:ascii="Arvo" w:hAnsi="Arvo" w:cs="Arial"/>
          <w:b/>
          <w:sz w:val="22"/>
          <w:szCs w:val="22"/>
        </w:rPr>
      </w:pPr>
      <w:r>
        <w:rPr>
          <w:rFonts w:ascii="Arvo" w:hAnsi="Arvo" w:cs="Arial"/>
          <w:b/>
          <w:sz w:val="22"/>
          <w:szCs w:val="22"/>
        </w:rPr>
        <w:t>JOB DESCRIPTION</w:t>
      </w:r>
    </w:p>
    <w:p w14:paraId="759C6E4E" w14:textId="77777777" w:rsidR="00F94EBC" w:rsidRDefault="00F94EBC">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F94EBC" w14:paraId="759C6E52" w14:textId="77777777">
        <w:trPr>
          <w:trHeight w:val="567"/>
        </w:trPr>
        <w:tc>
          <w:tcPr>
            <w:tcW w:w="1701" w:type="dxa"/>
            <w:tcBorders>
              <w:bottom w:val="single" w:sz="4" w:space="0" w:color="FFFFFF" w:themeColor="background1"/>
              <w:right w:val="single" w:sz="4" w:space="0" w:color="FFFFFF" w:themeColor="background1"/>
            </w:tcBorders>
            <w:vAlign w:val="center"/>
          </w:tcPr>
          <w:p w14:paraId="759C6E4F" w14:textId="77777777" w:rsidR="00F94EBC" w:rsidRDefault="00000000">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759C6E50" w14:textId="77777777" w:rsidR="00F94EBC" w:rsidRDefault="00000000">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14:paraId="759C6E51" w14:textId="77777777" w:rsidR="00F94EBC" w:rsidRDefault="00000000">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rsidR="00F94EBC" w14:paraId="759C6E56" w14:textId="77777777">
        <w:trPr>
          <w:trHeight w:val="567"/>
        </w:trPr>
        <w:tc>
          <w:tcPr>
            <w:tcW w:w="1701" w:type="dxa"/>
            <w:tcBorders>
              <w:top w:val="single" w:sz="4" w:space="0" w:color="FFFFFF" w:themeColor="background1"/>
              <w:right w:val="single" w:sz="4" w:space="0" w:color="FFFFFF" w:themeColor="background1"/>
            </w:tcBorders>
            <w:vAlign w:val="center"/>
          </w:tcPr>
          <w:p w14:paraId="759C6E53" w14:textId="77777777" w:rsidR="00F94EBC" w:rsidRDefault="00000000">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759C6E54" w14:textId="77777777" w:rsidR="00F94EBC" w:rsidRDefault="00000000">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759C6E55" w14:textId="77777777" w:rsidR="00F94EBC" w:rsidRDefault="00F94EBC">
            <w:pPr>
              <w:ind w:right="227"/>
              <w:rPr>
                <w:rFonts w:ascii="Arvo" w:hAnsi="Arvo" w:cs="Arial"/>
                <w:sz w:val="22"/>
                <w:szCs w:val="22"/>
              </w:rPr>
            </w:pPr>
          </w:p>
        </w:tc>
      </w:tr>
    </w:tbl>
    <w:p w14:paraId="759C6E57" w14:textId="77777777" w:rsidR="00F94EBC" w:rsidRDefault="00F94EBC">
      <w:pPr>
        <w:spacing w:line="259" w:lineRule="auto"/>
        <w:rPr>
          <w:rFonts w:ascii="Arial" w:hAnsi="Arial" w:cs="Arial"/>
          <w:sz w:val="22"/>
          <w:szCs w:val="22"/>
        </w:rPr>
      </w:pPr>
    </w:p>
    <w:p w14:paraId="759C6E58" w14:textId="77777777" w:rsidR="00F94EBC" w:rsidRDefault="00000000">
      <w:pPr>
        <w:spacing w:line="259" w:lineRule="auto"/>
        <w:rPr>
          <w:rFonts w:ascii="Arvo" w:hAnsi="Arvo" w:cs="Arial"/>
          <w:b/>
          <w:sz w:val="22"/>
          <w:szCs w:val="22"/>
        </w:rPr>
      </w:pPr>
      <w:r>
        <w:rPr>
          <w:rFonts w:ascii="Arvo" w:hAnsi="Arvo" w:cs="Arial"/>
          <w:b/>
          <w:sz w:val="22"/>
          <w:szCs w:val="22"/>
        </w:rPr>
        <w:t>Professional Characteristics</w:t>
      </w:r>
    </w:p>
    <w:p w14:paraId="759C6E59" w14:textId="77777777" w:rsidR="00F94EBC" w:rsidRDefault="00F94EBC">
      <w:pPr>
        <w:spacing w:line="360" w:lineRule="auto"/>
        <w:rPr>
          <w:rFonts w:ascii="Arial" w:hAnsi="Arial" w:cs="Arial"/>
          <w:sz w:val="22"/>
          <w:szCs w:val="22"/>
        </w:rPr>
      </w:pPr>
    </w:p>
    <w:p w14:paraId="759C6E5A" w14:textId="77777777" w:rsidR="00F94EBC" w:rsidRDefault="00000000">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14:paraId="759C6E5B" w14:textId="77777777" w:rsidR="00F94EBC" w:rsidRDefault="00000000">
      <w:pPr>
        <w:pStyle w:val="ListParagraph"/>
        <w:numPr>
          <w:ilvl w:val="0"/>
          <w:numId w:val="21"/>
        </w:numPr>
        <w:spacing w:line="360" w:lineRule="auto"/>
        <w:rPr>
          <w:rFonts w:ascii="Arial" w:hAnsi="Arial" w:cs="Arial"/>
        </w:rPr>
      </w:pPr>
      <w:r>
        <w:rPr>
          <w:rFonts w:ascii="Arial" w:hAnsi="Arial" w:cs="Arial"/>
        </w:rPr>
        <w:t xml:space="preserve">Inspiring trust and confidence </w:t>
      </w:r>
    </w:p>
    <w:p w14:paraId="759C6E5C" w14:textId="77777777" w:rsidR="00F94EBC" w:rsidRDefault="00000000">
      <w:pPr>
        <w:pStyle w:val="ListParagraph"/>
        <w:numPr>
          <w:ilvl w:val="0"/>
          <w:numId w:val="21"/>
        </w:numPr>
        <w:spacing w:line="360" w:lineRule="auto"/>
        <w:rPr>
          <w:rFonts w:ascii="Arial" w:hAnsi="Arial" w:cs="Arial"/>
        </w:rPr>
      </w:pPr>
      <w:r>
        <w:rPr>
          <w:rFonts w:ascii="Arial" w:hAnsi="Arial" w:cs="Arial"/>
        </w:rPr>
        <w:t xml:space="preserve">Building team commitment </w:t>
      </w:r>
    </w:p>
    <w:p w14:paraId="759C6E5D" w14:textId="77777777" w:rsidR="00F94EBC" w:rsidRDefault="00000000">
      <w:pPr>
        <w:pStyle w:val="ListParagraph"/>
        <w:numPr>
          <w:ilvl w:val="0"/>
          <w:numId w:val="21"/>
        </w:numPr>
        <w:spacing w:line="360" w:lineRule="auto"/>
        <w:rPr>
          <w:rFonts w:ascii="Arial" w:hAnsi="Arial" w:cs="Arial"/>
        </w:rPr>
      </w:pPr>
      <w:r>
        <w:rPr>
          <w:rFonts w:ascii="Arial" w:hAnsi="Arial" w:cs="Arial"/>
        </w:rPr>
        <w:t xml:space="preserve">Engaging and motivating students </w:t>
      </w:r>
    </w:p>
    <w:p w14:paraId="759C6E5E" w14:textId="77777777" w:rsidR="00F94EBC" w:rsidRDefault="00000000">
      <w:pPr>
        <w:pStyle w:val="ListParagraph"/>
        <w:numPr>
          <w:ilvl w:val="0"/>
          <w:numId w:val="21"/>
        </w:numPr>
        <w:spacing w:line="360" w:lineRule="auto"/>
        <w:rPr>
          <w:rFonts w:ascii="Arial" w:hAnsi="Arial" w:cs="Arial"/>
        </w:rPr>
      </w:pPr>
      <w:r>
        <w:rPr>
          <w:rFonts w:ascii="Arial" w:hAnsi="Arial" w:cs="Arial"/>
        </w:rPr>
        <w:t xml:space="preserve">Analytical thinking </w:t>
      </w:r>
    </w:p>
    <w:p w14:paraId="759C6E5F" w14:textId="77777777" w:rsidR="00F94EBC" w:rsidRDefault="00000000">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14:paraId="759C6E60" w14:textId="77777777" w:rsidR="00F94EBC" w:rsidRDefault="00F94EBC">
      <w:pPr>
        <w:spacing w:line="360" w:lineRule="auto"/>
        <w:rPr>
          <w:rFonts w:ascii="Arial" w:hAnsi="Arial" w:cs="Arial"/>
          <w:b/>
          <w:sz w:val="22"/>
          <w:szCs w:val="22"/>
        </w:rPr>
      </w:pPr>
    </w:p>
    <w:p w14:paraId="759C6E61" w14:textId="77777777" w:rsidR="00F94EBC" w:rsidRDefault="00000000">
      <w:pPr>
        <w:spacing w:line="360" w:lineRule="auto"/>
        <w:rPr>
          <w:rFonts w:ascii="Arvo" w:hAnsi="Arvo" w:cs="Arial"/>
          <w:b/>
          <w:sz w:val="22"/>
          <w:szCs w:val="22"/>
        </w:rPr>
      </w:pPr>
      <w:r>
        <w:rPr>
          <w:rFonts w:ascii="Arvo" w:hAnsi="Arvo" w:cs="Arial"/>
          <w:b/>
          <w:sz w:val="22"/>
          <w:szCs w:val="22"/>
        </w:rPr>
        <w:t>Job Description</w:t>
      </w:r>
    </w:p>
    <w:p w14:paraId="759C6E62" w14:textId="77777777" w:rsidR="00F94EBC" w:rsidRDefault="00F94EBC">
      <w:pPr>
        <w:spacing w:line="360" w:lineRule="auto"/>
        <w:rPr>
          <w:rFonts w:ascii="Arial" w:hAnsi="Arial" w:cs="Arial"/>
          <w:sz w:val="22"/>
          <w:szCs w:val="22"/>
          <w:lang w:val="en-GB"/>
        </w:rPr>
      </w:pPr>
    </w:p>
    <w:p w14:paraId="759C6E63"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14:paraId="759C6E64" w14:textId="77777777" w:rsidR="00F94EBC" w:rsidRDefault="00F94EBC">
      <w:pPr>
        <w:spacing w:line="360" w:lineRule="auto"/>
        <w:ind w:left="-360" w:firstLine="60"/>
        <w:rPr>
          <w:rFonts w:ascii="Arial" w:hAnsi="Arial" w:cs="Arial"/>
          <w:sz w:val="22"/>
          <w:szCs w:val="22"/>
        </w:rPr>
      </w:pPr>
    </w:p>
    <w:p w14:paraId="759C6E65"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14:paraId="759C6E66" w14:textId="77777777" w:rsidR="00F94EBC" w:rsidRDefault="00F94EBC">
      <w:pPr>
        <w:spacing w:line="360" w:lineRule="auto"/>
        <w:ind w:left="-360" w:firstLine="60"/>
        <w:rPr>
          <w:rFonts w:ascii="Arial" w:hAnsi="Arial" w:cs="Arial"/>
          <w:sz w:val="22"/>
          <w:szCs w:val="22"/>
        </w:rPr>
      </w:pPr>
    </w:p>
    <w:p w14:paraId="759C6E67"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14:paraId="759C6E68" w14:textId="77777777" w:rsidR="00F94EBC" w:rsidRDefault="00F94EBC">
      <w:pPr>
        <w:spacing w:line="360" w:lineRule="auto"/>
        <w:ind w:left="-360" w:firstLine="60"/>
        <w:rPr>
          <w:rFonts w:ascii="Arial" w:hAnsi="Arial" w:cs="Arial"/>
          <w:sz w:val="22"/>
          <w:szCs w:val="22"/>
        </w:rPr>
      </w:pPr>
    </w:p>
    <w:p w14:paraId="759C6E69"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759C6E6A" w14:textId="77777777" w:rsidR="00F94EBC" w:rsidRDefault="00F94EBC">
      <w:pPr>
        <w:spacing w:line="360" w:lineRule="auto"/>
        <w:ind w:left="-360" w:firstLine="60"/>
        <w:rPr>
          <w:rFonts w:ascii="Arial" w:hAnsi="Arial" w:cs="Arial"/>
          <w:sz w:val="22"/>
          <w:szCs w:val="22"/>
        </w:rPr>
      </w:pPr>
    </w:p>
    <w:p w14:paraId="759C6E6B" w14:textId="77777777" w:rsidR="00F94EBC" w:rsidRDefault="00F94EBC">
      <w:pPr>
        <w:spacing w:line="360" w:lineRule="auto"/>
        <w:ind w:left="-360" w:firstLine="60"/>
        <w:rPr>
          <w:rFonts w:ascii="Arial" w:hAnsi="Arial" w:cs="Arial"/>
          <w:sz w:val="22"/>
          <w:szCs w:val="22"/>
        </w:rPr>
      </w:pPr>
    </w:p>
    <w:p w14:paraId="759C6E6C" w14:textId="77777777" w:rsidR="00F94EBC" w:rsidRDefault="00F94EBC">
      <w:pPr>
        <w:spacing w:line="360" w:lineRule="auto"/>
        <w:ind w:left="-360" w:firstLine="60"/>
        <w:rPr>
          <w:rFonts w:ascii="Arial" w:hAnsi="Arial" w:cs="Arial"/>
          <w:sz w:val="22"/>
          <w:szCs w:val="22"/>
        </w:rPr>
      </w:pPr>
    </w:p>
    <w:p w14:paraId="759C6E6D" w14:textId="77777777" w:rsidR="00F94EBC" w:rsidRDefault="00F94EBC">
      <w:pPr>
        <w:spacing w:line="360" w:lineRule="auto"/>
        <w:ind w:left="-360" w:firstLine="60"/>
        <w:rPr>
          <w:rFonts w:ascii="Arial" w:hAnsi="Arial" w:cs="Arial"/>
          <w:sz w:val="22"/>
          <w:szCs w:val="22"/>
        </w:rPr>
      </w:pPr>
    </w:p>
    <w:p w14:paraId="759C6E6E" w14:textId="77777777" w:rsidR="00F94EBC" w:rsidRDefault="00F94EBC">
      <w:pPr>
        <w:spacing w:line="360" w:lineRule="auto"/>
        <w:ind w:left="-360" w:firstLine="60"/>
        <w:rPr>
          <w:rFonts w:ascii="Arial" w:hAnsi="Arial" w:cs="Arial"/>
          <w:sz w:val="22"/>
          <w:szCs w:val="22"/>
        </w:rPr>
      </w:pPr>
    </w:p>
    <w:p w14:paraId="759C6E6F"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14:paraId="759C6E70" w14:textId="77777777" w:rsidR="00F94EBC" w:rsidRDefault="00F94EBC">
      <w:pPr>
        <w:spacing w:line="360" w:lineRule="auto"/>
        <w:ind w:left="-360" w:firstLine="60"/>
        <w:rPr>
          <w:rFonts w:ascii="Arial" w:hAnsi="Arial" w:cs="Arial"/>
          <w:sz w:val="22"/>
          <w:szCs w:val="22"/>
        </w:rPr>
      </w:pPr>
    </w:p>
    <w:p w14:paraId="759C6E71"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759C6E72" w14:textId="77777777" w:rsidR="00F94EBC" w:rsidRDefault="00F94EBC">
      <w:pPr>
        <w:spacing w:line="360" w:lineRule="auto"/>
        <w:ind w:left="-360" w:firstLine="60"/>
        <w:rPr>
          <w:rFonts w:ascii="Arial" w:hAnsi="Arial" w:cs="Arial"/>
          <w:sz w:val="22"/>
          <w:szCs w:val="22"/>
        </w:rPr>
      </w:pPr>
    </w:p>
    <w:p w14:paraId="759C6E73"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behaviour and appearance. </w:t>
      </w:r>
    </w:p>
    <w:p w14:paraId="759C6E74" w14:textId="77777777" w:rsidR="00F94EBC" w:rsidRDefault="00F94EBC">
      <w:pPr>
        <w:spacing w:line="360" w:lineRule="auto"/>
        <w:ind w:left="-360" w:firstLine="60"/>
        <w:rPr>
          <w:rFonts w:ascii="Arial" w:hAnsi="Arial" w:cs="Arial"/>
          <w:sz w:val="22"/>
          <w:szCs w:val="22"/>
        </w:rPr>
      </w:pPr>
    </w:p>
    <w:p w14:paraId="759C6E75"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14:paraId="759C6E76" w14:textId="77777777" w:rsidR="00F94EBC" w:rsidRDefault="00F94EBC">
      <w:pPr>
        <w:spacing w:line="360" w:lineRule="auto"/>
        <w:ind w:left="-360" w:firstLine="60"/>
        <w:rPr>
          <w:rFonts w:ascii="Arial" w:hAnsi="Arial" w:cs="Arial"/>
          <w:sz w:val="22"/>
          <w:szCs w:val="22"/>
        </w:rPr>
      </w:pPr>
    </w:p>
    <w:p w14:paraId="759C6E77" w14:textId="77777777" w:rsidR="00F94EBC" w:rsidRDefault="00000000">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14:paraId="759C6E78" w14:textId="77777777" w:rsidR="00F94EBC" w:rsidRDefault="00000000">
      <w:pPr>
        <w:spacing w:line="360" w:lineRule="auto"/>
        <w:rPr>
          <w:rFonts w:ascii="Arial" w:hAnsi="Arial" w:cs="Arial"/>
          <w:sz w:val="22"/>
          <w:szCs w:val="22"/>
        </w:rPr>
      </w:pPr>
      <w:r>
        <w:rPr>
          <w:rFonts w:ascii="Arial" w:hAnsi="Arial" w:cs="Arial"/>
          <w:sz w:val="22"/>
          <w:szCs w:val="22"/>
        </w:rPr>
        <w:t xml:space="preserve"> </w:t>
      </w:r>
    </w:p>
    <w:p w14:paraId="759C6E79" w14:textId="77777777" w:rsidR="00F94EBC" w:rsidRDefault="00000000">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14:paraId="759C6E7A" w14:textId="77777777" w:rsidR="00F94EBC" w:rsidRDefault="00F94EBC">
      <w:pPr>
        <w:widowControl w:val="0"/>
        <w:jc w:val="both"/>
        <w:rPr>
          <w:rFonts w:ascii="Calibri" w:hAnsi="Calibri" w:cs="Calibri"/>
          <w:b/>
          <w:i/>
        </w:rPr>
      </w:pPr>
    </w:p>
    <w:p w14:paraId="759C6E7B" w14:textId="77777777" w:rsidR="00F94EBC" w:rsidRDefault="00F94EBC">
      <w:pPr>
        <w:widowControl w:val="0"/>
        <w:jc w:val="both"/>
        <w:rPr>
          <w:rFonts w:ascii="Calibri" w:hAnsi="Calibri" w:cs="Calibri"/>
          <w:b/>
          <w:i/>
        </w:rPr>
      </w:pPr>
    </w:p>
    <w:p w14:paraId="759C6E7C" w14:textId="77777777" w:rsidR="00F94EBC" w:rsidRDefault="00F94EBC">
      <w:pPr>
        <w:jc w:val="center"/>
        <w:rPr>
          <w:rFonts w:ascii="Arial" w:eastAsia="Times" w:hAnsi="Arial" w:cs="Times New Roman"/>
          <w:b/>
          <w:sz w:val="40"/>
          <w:szCs w:val="40"/>
          <w:lang w:val="en-GB"/>
        </w:rPr>
      </w:pPr>
    </w:p>
    <w:p w14:paraId="759C6E7D" w14:textId="77777777" w:rsidR="00F94EBC" w:rsidRDefault="00F94EBC">
      <w:pPr>
        <w:spacing w:before="100" w:beforeAutospacing="1"/>
        <w:rPr>
          <w:rFonts w:ascii="Arial" w:hAnsi="Arial" w:cs="Arial"/>
          <w:sz w:val="22"/>
          <w:szCs w:val="22"/>
        </w:rPr>
      </w:pPr>
    </w:p>
    <w:sectPr w:rsidR="00F94EBC">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32A0" w14:textId="77777777" w:rsidR="00DB0ECE" w:rsidRDefault="00DB0ECE">
      <w:r>
        <w:separator/>
      </w:r>
    </w:p>
  </w:endnote>
  <w:endnote w:type="continuationSeparator" w:id="0">
    <w:p w14:paraId="2C912906" w14:textId="77777777" w:rsidR="00DB0ECE" w:rsidRDefault="00DB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1334" w14:textId="77777777" w:rsidR="00DB0ECE" w:rsidRDefault="00DB0ECE">
      <w:r>
        <w:separator/>
      </w:r>
    </w:p>
  </w:footnote>
  <w:footnote w:type="continuationSeparator" w:id="0">
    <w:p w14:paraId="080926D9" w14:textId="77777777" w:rsidR="00DB0ECE" w:rsidRDefault="00DB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6E82" w14:textId="77777777" w:rsidR="00F94EBC" w:rsidRDefault="00000000">
    <w:pPr>
      <w:pStyle w:val="Header"/>
    </w:pPr>
    <w:r>
      <w:rPr>
        <w:noProof/>
      </w:rPr>
      <w:drawing>
        <wp:anchor distT="0" distB="0" distL="114300" distR="114300" simplePos="0" relativeHeight="251658241" behindDoc="0" locked="0" layoutInCell="1" allowOverlap="1" wp14:anchorId="759C6E83" wp14:editId="759C6E84">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759C6E85" wp14:editId="759C6E86">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71504719">
    <w:abstractNumId w:val="10"/>
  </w:num>
  <w:num w:numId="2" w16cid:durableId="1643266252">
    <w:abstractNumId w:val="8"/>
  </w:num>
  <w:num w:numId="3" w16cid:durableId="249655624">
    <w:abstractNumId w:val="4"/>
  </w:num>
  <w:num w:numId="4" w16cid:durableId="1229724900">
    <w:abstractNumId w:val="0"/>
  </w:num>
  <w:num w:numId="5" w16cid:durableId="223757810">
    <w:abstractNumId w:val="6"/>
  </w:num>
  <w:num w:numId="6" w16cid:durableId="142164504">
    <w:abstractNumId w:val="1"/>
  </w:num>
  <w:num w:numId="7" w16cid:durableId="116879842">
    <w:abstractNumId w:val="15"/>
  </w:num>
  <w:num w:numId="8" w16cid:durableId="653293048">
    <w:abstractNumId w:val="21"/>
  </w:num>
  <w:num w:numId="9" w16cid:durableId="1974672184">
    <w:abstractNumId w:val="2"/>
  </w:num>
  <w:num w:numId="10" w16cid:durableId="1623995279">
    <w:abstractNumId w:val="5"/>
  </w:num>
  <w:num w:numId="11" w16cid:durableId="425999775">
    <w:abstractNumId w:val="17"/>
  </w:num>
  <w:num w:numId="12" w16cid:durableId="1131436228">
    <w:abstractNumId w:val="3"/>
  </w:num>
  <w:num w:numId="13" w16cid:durableId="1561284913">
    <w:abstractNumId w:val="14"/>
  </w:num>
  <w:num w:numId="14" w16cid:durableId="566189975">
    <w:abstractNumId w:val="11"/>
  </w:num>
  <w:num w:numId="15" w16cid:durableId="1467237576">
    <w:abstractNumId w:val="9"/>
  </w:num>
  <w:num w:numId="16" w16cid:durableId="1217863158">
    <w:abstractNumId w:val="7"/>
  </w:num>
  <w:num w:numId="17" w16cid:durableId="556859578">
    <w:abstractNumId w:val="20"/>
  </w:num>
  <w:num w:numId="18" w16cid:durableId="2095396196">
    <w:abstractNumId w:val="12"/>
  </w:num>
  <w:num w:numId="19" w16cid:durableId="806438463">
    <w:abstractNumId w:val="13"/>
  </w:num>
  <w:num w:numId="20" w16cid:durableId="1633289305">
    <w:abstractNumId w:val="18"/>
  </w:num>
  <w:num w:numId="21" w16cid:durableId="1722510112">
    <w:abstractNumId w:val="16"/>
  </w:num>
  <w:num w:numId="22" w16cid:durableId="1069159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BD"/>
    <w:rsid w:val="00001C54"/>
    <w:rsid w:val="000C7610"/>
    <w:rsid w:val="00575BBD"/>
    <w:rsid w:val="005F6B17"/>
    <w:rsid w:val="008C5653"/>
    <w:rsid w:val="00A96736"/>
    <w:rsid w:val="00DB0ECE"/>
    <w:rsid w:val="00F94EB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C6E4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0BE80-1242-4814-891E-FDA3B521CBB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A62C5730-74D6-443B-9728-6B24127C1249}">
  <ds:schemaRefs>
    <ds:schemaRef ds:uri="http://schemas.microsoft.com/sharepoint/v3/contenttype/forms"/>
  </ds:schemaRefs>
</ds:datastoreItem>
</file>

<file path=customXml/itemProps3.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4.xml><?xml version="1.0" encoding="utf-8"?>
<ds:datastoreItem xmlns:ds="http://schemas.openxmlformats.org/officeDocument/2006/customXml" ds:itemID="{C979EED7-2DBB-4149-80EF-0BE43B02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2296</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Rebecca Beatt</cp:lastModifiedBy>
  <cp:revision>6</cp:revision>
  <cp:lastPrinted>2022-09-05T14:46:00Z</cp:lastPrinted>
  <dcterms:created xsi:type="dcterms:W3CDTF">2022-09-16T12:20:00Z</dcterms:created>
  <dcterms:modified xsi:type="dcterms:W3CDTF">2026-01-27T12:43:00Z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