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jc w:val="left"/>
        <w:rPr>
          <w:rFonts w:ascii="Rubik" w:cs="Rubik" w:eastAsia="Rubik" w:hAnsi="Rubik"/>
          <w:sz w:val="24"/>
          <w:szCs w:val="24"/>
        </w:rPr>
      </w:pPr>
      <w:r w:rsidDel="00000000" w:rsidR="00000000" w:rsidRPr="00000000">
        <w:rPr>
          <w:rFonts w:ascii="Rubik" w:cs="Rubik" w:eastAsia="Rubik" w:hAnsi="Rubik"/>
          <w:sz w:val="24"/>
          <w:szCs w:val="24"/>
        </w:rPr>
        <w:drawing>
          <wp:anchor allowOverlap="1" behindDoc="0" distB="114300" distT="114300" distL="114300" distR="114300" hidden="0" layoutInCell="1" locked="0" relativeHeight="0" simplePos="0">
            <wp:simplePos x="0" y="0"/>
            <wp:positionH relativeFrom="page">
              <wp:posOffset>4970418</wp:posOffset>
            </wp:positionH>
            <wp:positionV relativeFrom="page">
              <wp:posOffset>-7916</wp:posOffset>
            </wp:positionV>
            <wp:extent cx="2600325" cy="2924175"/>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00325" cy="2924175"/>
                    </a:xfrm>
                    <a:prstGeom prst="rect"/>
                    <a:ln/>
                  </pic:spPr>
                </pic:pic>
              </a:graphicData>
            </a:graphic>
          </wp:anchor>
        </w:drawing>
      </w:r>
      <w:r w:rsidDel="00000000" w:rsidR="00000000" w:rsidRPr="00000000">
        <w:rPr>
          <w:rFonts w:ascii="Rubik" w:cs="Rubik" w:eastAsia="Rubik" w:hAnsi="Rubik"/>
          <w:sz w:val="24"/>
          <w:szCs w:val="24"/>
        </w:rPr>
        <w:drawing>
          <wp:anchor allowOverlap="1" behindDoc="0" distB="0" distT="0" distL="0" distR="0" hidden="0" layoutInCell="1" locked="0" relativeHeight="0" simplePos="0">
            <wp:simplePos x="0" y="0"/>
            <wp:positionH relativeFrom="page">
              <wp:posOffset>152400</wp:posOffset>
            </wp:positionH>
            <wp:positionV relativeFrom="page">
              <wp:posOffset>95250</wp:posOffset>
            </wp:positionV>
            <wp:extent cx="3490425" cy="1499166"/>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90425" cy="14991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spacing w:line="240" w:lineRule="auto"/>
        <w:jc w:val="left"/>
        <w:rPr>
          <w:rFonts w:ascii="Rubik" w:cs="Rubik" w:eastAsia="Rubik" w:hAnsi="Rubik"/>
          <w:sz w:val="24"/>
          <w:szCs w:val="24"/>
        </w:rPr>
      </w:pPr>
      <w:r w:rsidDel="00000000" w:rsidR="00000000" w:rsidRPr="00000000">
        <w:rPr>
          <w:rtl w:val="0"/>
        </w:rPr>
      </w:r>
    </w:p>
    <w:p w:rsidR="00000000" w:rsidDel="00000000" w:rsidP="00000000" w:rsidRDefault="00000000" w:rsidRPr="00000000" w14:paraId="00000003">
      <w:pPr>
        <w:pageBreakBefore w:val="0"/>
        <w:spacing w:line="240" w:lineRule="auto"/>
        <w:jc w:val="left"/>
        <w:rPr>
          <w:rFonts w:ascii="Rubik" w:cs="Rubik" w:eastAsia="Rubik" w:hAnsi="Rubik"/>
          <w:sz w:val="24"/>
          <w:szCs w:val="24"/>
        </w:rPr>
      </w:pPr>
      <w:r w:rsidDel="00000000" w:rsidR="00000000" w:rsidRPr="00000000">
        <w:rPr>
          <w:rtl w:val="0"/>
        </w:rPr>
      </w:r>
    </w:p>
    <w:p w:rsidR="00000000" w:rsidDel="00000000" w:rsidP="00000000" w:rsidRDefault="00000000" w:rsidRPr="00000000" w14:paraId="00000004">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05">
      <w:pPr>
        <w:pStyle w:val="Title"/>
        <w:keepNext w:val="0"/>
        <w:keepLines w:val="0"/>
        <w:widowControl w:val="0"/>
        <w:spacing w:after="0" w:before="1" w:line="240" w:lineRule="auto"/>
        <w:ind w:left="180" w:firstLine="0"/>
        <w:rPr>
          <w:rFonts w:ascii="Verdana" w:cs="Verdana" w:eastAsia="Verdana" w:hAnsi="Verdana"/>
          <w:b w:val="1"/>
          <w:color w:val="1d3352"/>
          <w:sz w:val="48"/>
          <w:szCs w:val="48"/>
        </w:rPr>
      </w:pPr>
      <w:bookmarkStart w:colFirst="0" w:colLast="0" w:name="_aa9hmdn9l7p6" w:id="0"/>
      <w:bookmarkEnd w:id="0"/>
      <w:r w:rsidDel="00000000" w:rsidR="00000000" w:rsidRPr="00000000">
        <w:rPr>
          <w:rtl w:val="0"/>
        </w:rPr>
      </w:r>
    </w:p>
    <w:p w:rsidR="00000000" w:rsidDel="00000000" w:rsidP="00000000" w:rsidRDefault="00000000" w:rsidRPr="00000000" w14:paraId="00000006">
      <w:pPr>
        <w:pStyle w:val="Title"/>
        <w:keepNext w:val="0"/>
        <w:keepLines w:val="0"/>
        <w:widowControl w:val="0"/>
        <w:spacing w:after="0" w:before="1" w:line="240" w:lineRule="auto"/>
        <w:ind w:left="180" w:right="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7">
      <w:pPr>
        <w:pStyle w:val="Title"/>
        <w:keepNext w:val="0"/>
        <w:keepLines w:val="0"/>
        <w:widowControl w:val="0"/>
        <w:spacing w:after="0" w:before="1" w:line="240" w:lineRule="auto"/>
        <w:ind w:left="180" w:right="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8">
      <w:pPr>
        <w:pStyle w:val="Title"/>
        <w:keepNext w:val="0"/>
        <w:keepLines w:val="0"/>
        <w:widowControl w:val="0"/>
        <w:spacing w:after="0" w:before="1" w:line="240" w:lineRule="auto"/>
        <w:ind w:left="0" w:right="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before="1" w:line="240" w:lineRule="auto"/>
        <w:ind w:left="0" w:right="0" w:firstLine="0"/>
        <w:jc w:val="center"/>
        <w:rPr>
          <w:rFonts w:ascii="Verdana" w:cs="Verdana" w:eastAsia="Verdana" w:hAnsi="Verdana"/>
          <w:b w:val="1"/>
          <w:sz w:val="48"/>
          <w:szCs w:val="48"/>
        </w:rPr>
      </w:pPr>
      <w:r w:rsidDel="00000000" w:rsidR="00000000" w:rsidRPr="00000000">
        <w:rPr>
          <w:rFonts w:ascii="Verdana" w:cs="Verdana" w:eastAsia="Verdana" w:hAnsi="Verdana"/>
          <w:b w:val="1"/>
          <w:color w:val="1d3352"/>
          <w:sz w:val="48"/>
          <w:szCs w:val="48"/>
          <w:rtl w:val="0"/>
        </w:rPr>
        <w:t xml:space="preserve">RECRUITMENT OF EX-OFFENDERS POLICY </w:t>
      </w:r>
      <w:r w:rsidDel="00000000" w:rsidR="00000000" w:rsidRPr="00000000">
        <w:rPr>
          <w:rtl w:val="0"/>
        </w:rPr>
      </w:r>
    </w:p>
    <w:p w:rsidR="00000000" w:rsidDel="00000000" w:rsidP="00000000" w:rsidRDefault="00000000" w:rsidRPr="00000000" w14:paraId="0000000A">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B">
      <w:pPr>
        <w:widowControl w:val="0"/>
        <w:spacing w:after="1" w:before="144" w:line="240" w:lineRule="auto"/>
        <w:rPr>
          <w:rFonts w:ascii="Verdana" w:cs="Verdana" w:eastAsia="Verdana" w:hAnsi="Verdana"/>
          <w:b w:val="1"/>
          <w:sz w:val="20"/>
          <w:szCs w:val="20"/>
        </w:rPr>
      </w:pPr>
      <w:r w:rsidDel="00000000" w:rsidR="00000000" w:rsidRPr="00000000">
        <w:rPr>
          <w:rtl w:val="0"/>
        </w:rPr>
      </w:r>
    </w:p>
    <w:tbl>
      <w:tblPr>
        <w:tblStyle w:val="Table1"/>
        <w:tblW w:w="6015.0" w:type="dxa"/>
        <w:jc w:val="left"/>
        <w:tblInd w:w="2355.0" w:type="dxa"/>
        <w:tblBorders>
          <w:top w:color="55944c" w:space="0" w:sz="48" w:val="single"/>
          <w:left w:color="55944c" w:space="0" w:sz="48" w:val="single"/>
          <w:bottom w:color="55944c" w:space="0" w:sz="48" w:val="single"/>
          <w:right w:color="55944c" w:space="0" w:sz="48" w:val="single"/>
          <w:insideH w:color="55944c" w:space="0" w:sz="48" w:val="single"/>
          <w:insideV w:color="55944c" w:space="0" w:sz="48" w:val="single"/>
        </w:tblBorders>
        <w:tblLayout w:type="fixed"/>
        <w:tblLook w:val="0000"/>
      </w:tblPr>
      <w:tblGrid>
        <w:gridCol w:w="3165"/>
        <w:gridCol w:w="2850"/>
        <w:tblGridChange w:id="0">
          <w:tblGrid>
            <w:gridCol w:w="3165"/>
            <w:gridCol w:w="2850"/>
          </w:tblGrid>
        </w:tblGridChange>
      </w:tblGrid>
      <w:tr>
        <w:trPr>
          <w:cantSplit w:val="0"/>
          <w:trHeight w:val="534" w:hRule="atLeast"/>
          <w:tblHeader w:val="0"/>
        </w:trPr>
        <w:tc>
          <w:tcPr>
            <w:tcBorders>
              <w:top w:color="049d06" w:space="0" w:sz="48" w:val="single"/>
              <w:left w:color="000000" w:space="0" w:sz="0" w:val="nil"/>
              <w:bottom w:color="2a74ac" w:space="0" w:sz="18" w:val="single"/>
              <w:right w:color="2a74ac" w:space="0" w:sz="18" w:val="single"/>
            </w:tcBorders>
          </w:tcPr>
          <w:p w:rsidR="00000000" w:rsidDel="00000000" w:rsidP="00000000" w:rsidRDefault="00000000" w:rsidRPr="00000000" w14:paraId="0000000C">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MAT Version</w:t>
            </w:r>
            <w:r w:rsidDel="00000000" w:rsidR="00000000" w:rsidRPr="00000000">
              <w:rPr>
                <w:rtl w:val="0"/>
              </w:rPr>
            </w:r>
          </w:p>
        </w:tc>
        <w:tc>
          <w:tcPr>
            <w:tcBorders>
              <w:top w:color="049d06" w:space="0" w:sz="48" w:val="single"/>
              <w:left w:color="2a74ac" w:space="0" w:sz="18" w:val="single"/>
              <w:bottom w:color="2a74ac" w:space="0" w:sz="18" w:val="single"/>
              <w:right w:color="000000" w:space="0" w:sz="0" w:val="nil"/>
            </w:tcBorders>
          </w:tcPr>
          <w:p w:rsidR="00000000" w:rsidDel="00000000" w:rsidP="00000000" w:rsidRDefault="00000000" w:rsidRPr="00000000" w14:paraId="0000000D">
            <w:pPr>
              <w:widowControl w:val="0"/>
              <w:spacing w:before="120" w:line="240" w:lineRule="auto"/>
              <w:ind w:left="225" w:firstLine="0"/>
              <w:rPr>
                <w:rFonts w:ascii="Verdana" w:cs="Verdana" w:eastAsia="Verdana" w:hAnsi="Verdana"/>
              </w:rPr>
            </w:pPr>
            <w:r w:rsidDel="00000000" w:rsidR="00000000" w:rsidRPr="00000000">
              <w:rPr>
                <w:rFonts w:ascii="Verdana" w:cs="Verdana" w:eastAsia="Verdana" w:hAnsi="Verdana"/>
                <w:color w:val="002060"/>
                <w:rtl w:val="0"/>
              </w:rPr>
              <w:t xml:space="preserve">2.0</w:t>
            </w:r>
            <w:r w:rsidDel="00000000" w:rsidR="00000000" w:rsidRPr="00000000">
              <w:rPr>
                <w:rtl w:val="0"/>
              </w:rPr>
            </w:r>
          </w:p>
        </w:tc>
      </w:tr>
      <w:tr>
        <w:trPr>
          <w:cantSplit w:val="0"/>
          <w:trHeight w:val="480"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0E">
            <w:pPr>
              <w:widowControl w:val="0"/>
              <w:spacing w:after="0"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Date written</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0F">
            <w:pPr>
              <w:widowControl w:val="0"/>
              <w:spacing w:before="120" w:line="240" w:lineRule="auto"/>
              <w:ind w:left="227" w:right="44" w:firstLine="0"/>
              <w:rPr>
                <w:rFonts w:ascii="Verdana" w:cs="Verdana" w:eastAsia="Verdana" w:hAnsi="Verdana"/>
              </w:rPr>
            </w:pPr>
            <w:r w:rsidDel="00000000" w:rsidR="00000000" w:rsidRPr="00000000">
              <w:rPr>
                <w:rFonts w:ascii="Verdana" w:cs="Verdana" w:eastAsia="Verdana" w:hAnsi="Verdana"/>
                <w:color w:val="002060"/>
                <w:rtl w:val="0"/>
              </w:rPr>
              <w:t xml:space="preserve">October 2024</w:t>
            </w:r>
            <w:r w:rsidDel="00000000" w:rsidR="00000000" w:rsidRPr="00000000">
              <w:rPr>
                <w:rtl w:val="0"/>
              </w:rPr>
            </w:r>
          </w:p>
        </w:tc>
      </w:tr>
      <w:tr>
        <w:trPr>
          <w:cantSplit w:val="0"/>
          <w:trHeight w:val="531"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0">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Last review date</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1">
            <w:pPr>
              <w:widowControl w:val="0"/>
              <w:spacing w:before="120" w:line="240" w:lineRule="auto"/>
              <w:ind w:left="0" w:firstLine="0"/>
              <w:rPr>
                <w:rFonts w:ascii="Verdana" w:cs="Verdana" w:eastAsia="Verdana" w:hAnsi="Verdana"/>
              </w:rPr>
            </w:pPr>
            <w:r w:rsidDel="00000000" w:rsidR="00000000" w:rsidRPr="00000000">
              <w:rPr>
                <w:rtl w:val="0"/>
              </w:rPr>
            </w:r>
          </w:p>
        </w:tc>
      </w:tr>
      <w:tr>
        <w:trPr>
          <w:cantSplit w:val="0"/>
          <w:trHeight w:val="405"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2">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Next review due date</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3">
            <w:pPr>
              <w:widowControl w:val="0"/>
              <w:spacing w:before="120" w:lineRule="auto"/>
              <w:ind w:left="227" w:right="44" w:firstLine="0"/>
              <w:rPr>
                <w:rFonts w:ascii="Verdana" w:cs="Verdana" w:eastAsia="Verdana" w:hAnsi="Verdana"/>
              </w:rPr>
            </w:pPr>
            <w:r w:rsidDel="00000000" w:rsidR="00000000" w:rsidRPr="00000000">
              <w:rPr>
                <w:rFonts w:ascii="Verdana" w:cs="Verdana" w:eastAsia="Verdana" w:hAnsi="Verdana"/>
                <w:color w:val="002060"/>
                <w:rtl w:val="0"/>
              </w:rPr>
              <w:t xml:space="preserve">October 2026</w:t>
            </w:r>
            <w:r w:rsidDel="00000000" w:rsidR="00000000" w:rsidRPr="00000000">
              <w:rPr>
                <w:rtl w:val="0"/>
              </w:rPr>
            </w:r>
          </w:p>
        </w:tc>
      </w:tr>
      <w:tr>
        <w:trPr>
          <w:cantSplit w:val="0"/>
          <w:trHeight w:val="495"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4">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Approved by Trustees</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5">
            <w:pPr>
              <w:widowControl w:val="0"/>
              <w:spacing w:before="120" w:lineRule="auto"/>
              <w:ind w:left="227" w:right="44" w:firstLine="0"/>
              <w:rPr>
                <w:rFonts w:ascii="Verdana" w:cs="Verdana" w:eastAsia="Verdana" w:hAnsi="Verdana"/>
              </w:rPr>
            </w:pPr>
            <w:r w:rsidDel="00000000" w:rsidR="00000000" w:rsidRPr="00000000">
              <w:rPr>
                <w:rFonts w:ascii="Verdana" w:cs="Verdana" w:eastAsia="Verdana" w:hAnsi="Verdana"/>
                <w:color w:val="002060"/>
                <w:rtl w:val="0"/>
              </w:rPr>
              <w:t xml:space="preserve">October 2023</w:t>
            </w:r>
            <w:r w:rsidDel="00000000" w:rsidR="00000000" w:rsidRPr="00000000">
              <w:rPr>
                <w:rtl w:val="0"/>
              </w:rPr>
            </w:r>
          </w:p>
        </w:tc>
      </w:tr>
    </w:tbl>
    <w:p w:rsidR="00000000" w:rsidDel="00000000" w:rsidP="00000000" w:rsidRDefault="00000000" w:rsidRPr="00000000" w14:paraId="00000016">
      <w:pPr>
        <w:widowControl w:val="0"/>
        <w:spacing w:before="12" w:line="240" w:lineRule="auto"/>
        <w:rPr>
          <w:rFonts w:ascii="Verdana" w:cs="Verdana" w:eastAsia="Verdana" w:hAnsi="Verdana"/>
          <w:b w:val="1"/>
          <w:sz w:val="48"/>
          <w:szCs w:val="48"/>
        </w:rPr>
      </w:pPr>
      <w:r w:rsidDel="00000000" w:rsidR="00000000" w:rsidRPr="00000000">
        <w:rPr>
          <w:rtl w:val="0"/>
        </w:rPr>
      </w:r>
    </w:p>
    <w:p w:rsidR="00000000" w:rsidDel="00000000" w:rsidP="00000000" w:rsidRDefault="00000000" w:rsidRPr="00000000" w14:paraId="00000017">
      <w:pPr>
        <w:widowControl w:val="0"/>
        <w:tabs>
          <w:tab w:val="left" w:leader="none" w:pos="5849"/>
        </w:tabs>
        <w:spacing w:line="240" w:lineRule="auto"/>
        <w:ind w:left="3690" w:right="3525"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Record of Alterations </w:t>
      </w:r>
    </w:p>
    <w:p w:rsidR="00000000" w:rsidDel="00000000" w:rsidP="00000000" w:rsidRDefault="00000000" w:rsidRPr="00000000" w14:paraId="00000018">
      <w:pPr>
        <w:widowControl w:val="0"/>
        <w:tabs>
          <w:tab w:val="left" w:leader="none" w:pos="5849"/>
        </w:tabs>
        <w:spacing w:line="240" w:lineRule="auto"/>
        <w:ind w:left="3690" w:right="3270"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Version 1.0  Original (</w:t>
      </w:r>
      <w:r w:rsidDel="00000000" w:rsidR="00000000" w:rsidRPr="00000000">
        <w:rPr>
          <w:rFonts w:ascii="Verdana" w:cs="Verdana" w:eastAsia="Verdana" w:hAnsi="Verdana"/>
          <w:color w:val="002060"/>
          <w:rtl w:val="0"/>
        </w:rPr>
        <w:t xml:space="preserve">October 2023</w:t>
      </w:r>
      <w:r w:rsidDel="00000000" w:rsidR="00000000" w:rsidRPr="00000000">
        <w:rPr>
          <w:rFonts w:ascii="Verdana" w:cs="Verdana" w:eastAsia="Verdana" w:hAnsi="Verdana"/>
          <w:color w:val="1d3352"/>
          <w:sz w:val="20"/>
          <w:szCs w:val="20"/>
          <w:rtl w:val="0"/>
        </w:rPr>
        <w:t xml:space="preserve">)</w:t>
      </w:r>
    </w:p>
    <w:p w:rsidR="00000000" w:rsidDel="00000000" w:rsidP="00000000" w:rsidRDefault="00000000" w:rsidRPr="00000000" w14:paraId="00000019">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A">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B">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C">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D">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E">
      <w:pPr>
        <w:spacing w:line="240" w:lineRule="auto"/>
        <w:rPr>
          <w:rFonts w:ascii="Rubik" w:cs="Rubik" w:eastAsia="Rubik" w:hAnsi="Rubik"/>
          <w:b w:val="1"/>
          <w:sz w:val="24"/>
          <w:szCs w:val="24"/>
          <w:u w:val="single"/>
        </w:rPr>
      </w:pPr>
      <w:r w:rsidDel="00000000" w:rsidR="00000000" w:rsidRPr="00000000">
        <w:rPr>
          <w:rFonts w:ascii="Rubik" w:cs="Rubik" w:eastAsia="Rubik" w:hAnsi="Rubik"/>
          <w:b w:val="1"/>
          <w:sz w:val="24"/>
          <w:szCs w:val="24"/>
          <w:u w:val="single"/>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7772400</wp:posOffset>
            </wp:positionV>
            <wp:extent cx="2600325" cy="292417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rot="10800000">
                      <a:off x="0" y="0"/>
                      <a:ext cx="2600325" cy="2924175"/>
                    </a:xfrm>
                    <a:prstGeom prst="rect"/>
                    <a:ln/>
                  </pic:spPr>
                </pic:pic>
              </a:graphicData>
            </a:graphic>
          </wp:anchor>
        </w:drawing>
      </w:r>
      <w:r w:rsidDel="00000000" w:rsidR="00000000" w:rsidRPr="00000000">
        <w:rPr>
          <w:rtl w:val="0"/>
        </w:rPr>
      </w:r>
    </w:p>
    <w:p w:rsidR="00000000" w:rsidDel="00000000" w:rsidP="00000000" w:rsidRDefault="00000000" w:rsidRPr="00000000" w14:paraId="0000001F">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0">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1">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2">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3">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4">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5">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6">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7">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8">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9">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pStyle w:val="Heading2"/>
        <w:spacing w:line="240" w:lineRule="auto"/>
        <w:rPr/>
      </w:pPr>
      <w:bookmarkStart w:colFirst="0" w:colLast="0" w:name="_dsq3gire51eq" w:id="1"/>
      <w:bookmarkEnd w:id="1"/>
      <w:r w:rsidDel="00000000" w:rsidR="00000000" w:rsidRPr="00000000">
        <w:rPr>
          <w:rtl w:val="0"/>
        </w:rPr>
        <w:t xml:space="preserve">Contents</w:t>
      </w:r>
    </w:p>
    <w:p w:rsidR="00000000" w:rsidDel="00000000" w:rsidP="00000000" w:rsidRDefault="00000000" w:rsidRPr="00000000" w14:paraId="0000002C">
      <w:pPr>
        <w:spacing w:line="240" w:lineRule="auto"/>
        <w:rPr/>
      </w:pPr>
      <w:r w:rsidDel="00000000" w:rsidR="00000000" w:rsidRPr="00000000">
        <w:rPr>
          <w:rtl w:val="0"/>
        </w:rPr>
      </w:r>
    </w:p>
    <w:sdt>
      <w:sdtPr>
        <w:id w:val="1359982413"/>
        <w:docPartObj>
          <w:docPartGallery w:val="Table of Contents"/>
          <w:docPartUnique w:val="1"/>
        </w:docPartObj>
      </w:sdtPr>
      <w:sdtContent>
        <w:p w:rsidR="00000000" w:rsidDel="00000000" w:rsidP="00000000" w:rsidRDefault="00000000" w:rsidRPr="00000000" w14:paraId="0000002D">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sq3gire51e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Contents</w:t>
              <w:tab/>
              <w:t xml:space="preserve">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r3rvcsqb2qs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Policy Statement</w:t>
              <w:tab/>
              <w:t xml:space="preserve">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ue9xpkf1cdi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Principles</w:t>
              <w:tab/>
              <w:t xml:space="preserve">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6h3p6dd9u2n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Recruitment Process</w:t>
              <w:tab/>
              <w:t xml:space="preserve">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luj8dewx36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Disclosure of Convictions:</w:t>
              <w:tab/>
              <w:t xml:space="preserve">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kwp2p8cd29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Risk Assessment:</w:t>
              <w:tab/>
              <w:t xml:space="preserve">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y915e6yatyf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Discussions:</w:t>
              <w:tab/>
              <w:t xml:space="preserve">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v5nuu2kigdq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Legal and Policy Framework</w:t>
              <w:tab/>
              <w:t xml:space="preserve">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649rfggfmx8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Policy Availability</w:t>
              <w:tab/>
              <w:t xml:space="preserve">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spacing w:line="276" w:lineRule="auto"/>
        <w:rPr/>
      </w:pPr>
      <w:bookmarkStart w:colFirst="0" w:colLast="0" w:name="_r3rvcsqb2qs7" w:id="2"/>
      <w:bookmarkEnd w:id="2"/>
      <w:r w:rsidDel="00000000" w:rsidR="00000000" w:rsidRPr="00000000">
        <w:rPr>
          <w:rtl w:val="0"/>
        </w:rPr>
        <w:t xml:space="preserve">Policy Statement</w:t>
      </w:r>
    </w:p>
    <w:p w:rsidR="00000000" w:rsidDel="00000000" w:rsidP="00000000" w:rsidRDefault="00000000" w:rsidRPr="00000000" w14:paraId="00000038">
      <w:pPr>
        <w:spacing w:line="276" w:lineRule="auto"/>
        <w:rPr/>
      </w:pPr>
      <w:r w:rsidDel="00000000" w:rsidR="00000000" w:rsidRPr="00000000">
        <w:rPr>
          <w:rtl w:val="0"/>
        </w:rPr>
        <w:t xml:space="preserve">Robin Hood Multi Academy Trust (the Trust) is committed to ensuring the safety and wellbeing of children and young people in accordance with the </w:t>
      </w:r>
      <w:r w:rsidDel="00000000" w:rsidR="00000000" w:rsidRPr="00000000">
        <w:rPr>
          <w:b w:val="1"/>
          <w:rtl w:val="0"/>
        </w:rPr>
        <w:t xml:space="preserve">Keeping Children Safe in Education</w:t>
      </w:r>
      <w:r w:rsidDel="00000000" w:rsidR="00000000" w:rsidRPr="00000000">
        <w:rPr>
          <w:rtl w:val="0"/>
        </w:rPr>
        <w:t xml:space="preserve"> (KCSIE) statutory guidance. We are also committed to treating all applicants fairly and lawfully, in line with the </w:t>
      </w:r>
      <w:r w:rsidDel="00000000" w:rsidR="00000000" w:rsidRPr="00000000">
        <w:rPr>
          <w:b w:val="1"/>
          <w:rtl w:val="0"/>
        </w:rPr>
        <w:t xml:space="preserve">Rehabilitation of Offenders Act 1974</w:t>
      </w:r>
      <w:r w:rsidDel="00000000" w:rsidR="00000000" w:rsidRPr="00000000">
        <w:rPr>
          <w:rtl w:val="0"/>
        </w:rPr>
        <w:t xml:space="preserve"> (ROA), the </w:t>
      </w:r>
      <w:r w:rsidDel="00000000" w:rsidR="00000000" w:rsidRPr="00000000">
        <w:rPr>
          <w:b w:val="1"/>
          <w:rtl w:val="0"/>
        </w:rPr>
        <w:t xml:space="preserve">Equality Act 2010</w:t>
      </w:r>
      <w:r w:rsidDel="00000000" w:rsidR="00000000" w:rsidRPr="00000000">
        <w:rPr>
          <w:rtl w:val="0"/>
        </w:rPr>
        <w:t xml:space="preserve">, and the </w:t>
      </w:r>
      <w:r w:rsidDel="00000000" w:rsidR="00000000" w:rsidRPr="00000000">
        <w:rPr>
          <w:b w:val="1"/>
          <w:rtl w:val="0"/>
        </w:rPr>
        <w:t xml:space="preserve">Disclosure and Barring Service</w:t>
      </w:r>
      <w:r w:rsidDel="00000000" w:rsidR="00000000" w:rsidRPr="00000000">
        <w:rPr>
          <w:rtl w:val="0"/>
        </w:rPr>
        <w:t xml:space="preserve"> (DBS) Code of Practice.</w:t>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t xml:space="preserve">This policy outlines our approach to the recruitment of individuals with criminal records, ensuring that safeguarding, fairness, and equality underpin all decisions.</w:t>
      </w:r>
    </w:p>
    <w:p w:rsidR="00000000" w:rsidDel="00000000" w:rsidP="00000000" w:rsidRDefault="00000000" w:rsidRPr="00000000" w14:paraId="0000003B">
      <w:pPr>
        <w:pStyle w:val="Heading2"/>
        <w:spacing w:line="276" w:lineRule="auto"/>
        <w:rPr/>
      </w:pPr>
      <w:bookmarkStart w:colFirst="0" w:colLast="0" w:name="_ue9xpkf1cdi6" w:id="3"/>
      <w:bookmarkEnd w:id="3"/>
      <w:r w:rsidDel="00000000" w:rsidR="00000000" w:rsidRPr="00000000">
        <w:rPr>
          <w:rtl w:val="0"/>
        </w:rPr>
        <w:t xml:space="preserve">Key Principles</w:t>
      </w:r>
    </w:p>
    <w:p w:rsidR="00000000" w:rsidDel="00000000" w:rsidP="00000000" w:rsidRDefault="00000000" w:rsidRPr="00000000" w14:paraId="0000003C">
      <w:pPr>
        <w:spacing w:line="276" w:lineRule="auto"/>
        <w:rPr/>
      </w:pPr>
      <w:r w:rsidDel="00000000" w:rsidR="00000000" w:rsidRPr="00000000">
        <w:rPr>
          <w:rtl w:val="0"/>
        </w:rPr>
        <w:t xml:space="preserve">Safeguarding children, young people, and vulnerable adults is central to all recruitment practices. Decisions about recruiting individuals with criminal records prioritise the safety and welfare of those in our care.</w:t>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t xml:space="preserve">The Trust actively promotes equality of opportunity and ensures that criminal record information is only considered where relevant to the role.  </w:t>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t xml:space="preserve">No applicant is unfairly discriminated against on the basis of a spent conviction, caution, or other matter that is irrelevant to the position.  Having a criminal record will not necessarily bar applicants from working at our Trust. The success of any application will depend on suitability for the job, the nature of the role, and the circumstances and background of any offences.</w:t>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t xml:space="preserve">Recruitment decisions comply fully with the Rehabilitation of Offenders Act 1974, the DBS Code of Practice, and GDPR.  </w:t>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t xml:space="preserve">Candidates are informed of the necessity for a DBS check during recruitment and provided access to this policy.</w:t>
      </w:r>
    </w:p>
    <w:p w:rsidR="00000000" w:rsidDel="00000000" w:rsidP="00000000" w:rsidRDefault="00000000" w:rsidRPr="00000000" w14:paraId="00000045">
      <w:pPr>
        <w:spacing w:line="276" w:lineRule="auto"/>
        <w:rPr/>
      </w:pP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t xml:space="preserve">It is a criminal offence for any person who is barred from working with children to apply for a position in a school.  The Trust will make a report to the DBS and/or the police as appropriate, if it receives an application from a barred person.</w:t>
      </w:r>
    </w:p>
    <w:p w:rsidR="00000000" w:rsidDel="00000000" w:rsidP="00000000" w:rsidRDefault="00000000" w:rsidRPr="00000000" w14:paraId="00000047">
      <w:pPr>
        <w:pStyle w:val="Heading2"/>
        <w:spacing w:line="276" w:lineRule="auto"/>
        <w:rPr/>
      </w:pPr>
      <w:bookmarkStart w:colFirst="0" w:colLast="0" w:name="_6h3p6dd9u2nf" w:id="4"/>
      <w:bookmarkEnd w:id="4"/>
      <w:r w:rsidDel="00000000" w:rsidR="00000000" w:rsidRPr="00000000">
        <w:rPr>
          <w:rtl w:val="0"/>
        </w:rPr>
        <w:t xml:space="preserve">Recruitment Process</w:t>
      </w:r>
    </w:p>
    <w:p w:rsidR="00000000" w:rsidDel="00000000" w:rsidP="00000000" w:rsidRDefault="00000000" w:rsidRPr="00000000" w14:paraId="00000048">
      <w:pPr>
        <w:pStyle w:val="Heading4"/>
        <w:spacing w:line="276" w:lineRule="auto"/>
        <w:rPr/>
      </w:pPr>
      <w:bookmarkStart w:colFirst="0" w:colLast="0" w:name="_luj8dewx366f" w:id="5"/>
      <w:bookmarkEnd w:id="5"/>
      <w:r w:rsidDel="00000000" w:rsidR="00000000" w:rsidRPr="00000000">
        <w:rPr>
          <w:rtl w:val="0"/>
        </w:rPr>
        <w:t xml:space="preserve">Disclosure of Convictions:  </w:t>
      </w:r>
    </w:p>
    <w:p w:rsidR="00000000" w:rsidDel="00000000" w:rsidP="00000000" w:rsidRDefault="00000000" w:rsidRPr="00000000" w14:paraId="00000049">
      <w:pPr>
        <w:spacing w:line="276" w:lineRule="auto"/>
        <w:rPr/>
      </w:pPr>
      <w:r w:rsidDel="00000000" w:rsidR="00000000" w:rsidRPr="00000000">
        <w:rPr>
          <w:rtl w:val="0"/>
        </w:rPr>
        <w:t xml:space="preserve">Candidates applying for roles exempt under the ROA (e.g., teaching and other roles involving children) are required to disclose both spent and unspent convictions unless they are protected.  All shortlisted applicants will be asked to complete a self-declaration form before the interview stage. Applicants must complete these forms accurately, and reveal all relevant convictions, as well as any other information that would make them unsuitable to work with children. Failure to reveal any relevant information could lead to the withdrawal of an offer of employment.</w:t>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t xml:space="preserve">Examples of legally disclosable convictions include:  </w:t>
      </w:r>
    </w:p>
    <w:p w:rsidR="00000000" w:rsidDel="00000000" w:rsidP="00000000" w:rsidRDefault="00000000" w:rsidRPr="00000000" w14:paraId="0000004C">
      <w:pPr>
        <w:numPr>
          <w:ilvl w:val="0"/>
          <w:numId w:val="2"/>
        </w:numPr>
        <w:spacing w:line="276" w:lineRule="auto"/>
        <w:ind w:left="720" w:hanging="360"/>
      </w:pPr>
      <w:r w:rsidDel="00000000" w:rsidR="00000000" w:rsidRPr="00000000">
        <w:rPr>
          <w:rtl w:val="0"/>
        </w:rPr>
        <w:t xml:space="preserve">Serious violent offences (e.g., assault causing grievous bodily harm).  </w:t>
      </w:r>
    </w:p>
    <w:p w:rsidR="00000000" w:rsidDel="00000000" w:rsidP="00000000" w:rsidRDefault="00000000" w:rsidRPr="00000000" w14:paraId="0000004D">
      <w:pPr>
        <w:numPr>
          <w:ilvl w:val="0"/>
          <w:numId w:val="2"/>
        </w:numPr>
        <w:spacing w:line="276" w:lineRule="auto"/>
        <w:ind w:left="720" w:hanging="360"/>
      </w:pPr>
      <w:r w:rsidDel="00000000" w:rsidR="00000000" w:rsidRPr="00000000">
        <w:rPr>
          <w:rtl w:val="0"/>
        </w:rPr>
        <w:t xml:space="preserve">Sexual offences (e.g., offences under the Sexual Offences Act 2003).  </w:t>
      </w:r>
    </w:p>
    <w:p w:rsidR="00000000" w:rsidDel="00000000" w:rsidP="00000000" w:rsidRDefault="00000000" w:rsidRPr="00000000" w14:paraId="0000004E">
      <w:pPr>
        <w:numPr>
          <w:ilvl w:val="0"/>
          <w:numId w:val="2"/>
        </w:numPr>
        <w:spacing w:line="276" w:lineRule="auto"/>
        <w:ind w:left="720" w:hanging="360"/>
      </w:pPr>
      <w:r w:rsidDel="00000000" w:rsidR="00000000" w:rsidRPr="00000000">
        <w:rPr>
          <w:rtl w:val="0"/>
        </w:rPr>
        <w:t xml:space="preserve">Any offences involving harm or attempted harm to children or vulnerable adults.</w:t>
      </w:r>
    </w:p>
    <w:p w:rsidR="00000000" w:rsidDel="00000000" w:rsidP="00000000" w:rsidRDefault="00000000" w:rsidRPr="00000000" w14:paraId="0000004F">
      <w:pPr>
        <w:pStyle w:val="Heading4"/>
        <w:spacing w:line="276" w:lineRule="auto"/>
        <w:rPr/>
      </w:pPr>
      <w:bookmarkStart w:colFirst="0" w:colLast="0" w:name="_kwp2p8cd2974" w:id="6"/>
      <w:bookmarkEnd w:id="6"/>
      <w:r w:rsidDel="00000000" w:rsidR="00000000" w:rsidRPr="00000000">
        <w:rPr>
          <w:rtl w:val="0"/>
        </w:rPr>
        <w:t xml:space="preserve">Risk Assessment:  </w:t>
      </w:r>
    </w:p>
    <w:p w:rsidR="00000000" w:rsidDel="00000000" w:rsidP="00000000" w:rsidRDefault="00000000" w:rsidRPr="00000000" w14:paraId="00000050">
      <w:pPr>
        <w:spacing w:line="276" w:lineRule="auto"/>
        <w:rPr/>
      </w:pPr>
      <w:r w:rsidDel="00000000" w:rsidR="00000000" w:rsidRPr="00000000">
        <w:rPr>
          <w:rtl w:val="0"/>
        </w:rPr>
        <w:t xml:space="preserve">A risk assessment is conducted when a DBS certificate reveals a conviction or caution. Factors considered include:  </w:t>
      </w:r>
    </w:p>
    <w:p w:rsidR="00000000" w:rsidDel="00000000" w:rsidP="00000000" w:rsidRDefault="00000000" w:rsidRPr="00000000" w14:paraId="00000051">
      <w:pPr>
        <w:numPr>
          <w:ilvl w:val="0"/>
          <w:numId w:val="1"/>
        </w:numPr>
        <w:spacing w:line="276" w:lineRule="auto"/>
        <w:ind w:left="720" w:hanging="360"/>
      </w:pPr>
      <w:r w:rsidDel="00000000" w:rsidR="00000000" w:rsidRPr="00000000">
        <w:rPr>
          <w:rtl w:val="0"/>
        </w:rPr>
        <w:t xml:space="preserve">The nature and seriousness of the offence.  </w:t>
      </w:r>
    </w:p>
    <w:p w:rsidR="00000000" w:rsidDel="00000000" w:rsidP="00000000" w:rsidRDefault="00000000" w:rsidRPr="00000000" w14:paraId="00000052">
      <w:pPr>
        <w:numPr>
          <w:ilvl w:val="0"/>
          <w:numId w:val="1"/>
        </w:numPr>
        <w:spacing w:line="276" w:lineRule="auto"/>
        <w:ind w:left="720" w:hanging="360"/>
      </w:pPr>
      <w:r w:rsidDel="00000000" w:rsidR="00000000" w:rsidRPr="00000000">
        <w:rPr>
          <w:rtl w:val="0"/>
        </w:rPr>
        <w:t xml:space="preserve">The time elapsed since the offence.  </w:t>
      </w:r>
    </w:p>
    <w:p w:rsidR="00000000" w:rsidDel="00000000" w:rsidP="00000000" w:rsidRDefault="00000000" w:rsidRPr="00000000" w14:paraId="00000053">
      <w:pPr>
        <w:numPr>
          <w:ilvl w:val="0"/>
          <w:numId w:val="1"/>
        </w:numPr>
        <w:spacing w:line="276" w:lineRule="auto"/>
        <w:ind w:left="720" w:hanging="360"/>
      </w:pPr>
      <w:r w:rsidDel="00000000" w:rsidR="00000000" w:rsidRPr="00000000">
        <w:rPr>
          <w:rtl w:val="0"/>
        </w:rPr>
        <w:t xml:space="preserve">The relevance of the offence to the role.  </w:t>
      </w:r>
    </w:p>
    <w:p w:rsidR="00000000" w:rsidDel="00000000" w:rsidP="00000000" w:rsidRDefault="00000000" w:rsidRPr="00000000" w14:paraId="00000054">
      <w:pPr>
        <w:pStyle w:val="Heading4"/>
        <w:spacing w:line="276" w:lineRule="auto"/>
        <w:rPr/>
      </w:pPr>
      <w:bookmarkStart w:colFirst="0" w:colLast="0" w:name="_y915e6yatyfo" w:id="7"/>
      <w:bookmarkEnd w:id="7"/>
      <w:r w:rsidDel="00000000" w:rsidR="00000000" w:rsidRPr="00000000">
        <w:rPr>
          <w:rtl w:val="0"/>
        </w:rPr>
        <w:t xml:space="preserve">Open Discussions:  </w:t>
      </w:r>
    </w:p>
    <w:p w:rsidR="00000000" w:rsidDel="00000000" w:rsidP="00000000" w:rsidRDefault="00000000" w:rsidRPr="00000000" w14:paraId="00000055">
      <w:pPr>
        <w:spacing w:line="276" w:lineRule="auto"/>
        <w:rPr/>
      </w:pPr>
      <w:r w:rsidDel="00000000" w:rsidR="00000000" w:rsidRPr="00000000">
        <w:rPr>
          <w:rtl w:val="0"/>
        </w:rPr>
        <w:t xml:space="preserve">Applicants are encouraged to discuss disclosed convictions or cautions during interviews or in separate discussions.  This will provide an opportunity for the interview panel to take the applicant’s explanation into consideration. For example, we will consider:</w:t>
      </w:r>
    </w:p>
    <w:p w:rsidR="00000000" w:rsidDel="00000000" w:rsidP="00000000" w:rsidRDefault="00000000" w:rsidRPr="00000000" w14:paraId="00000056">
      <w:pPr>
        <w:spacing w:line="276" w:lineRule="auto"/>
        <w:rPr/>
      </w:pPr>
      <w:r w:rsidDel="00000000" w:rsidR="00000000" w:rsidRPr="00000000">
        <w:rPr>
          <w:rtl w:val="0"/>
        </w:rPr>
      </w:r>
    </w:p>
    <w:p w:rsidR="00000000" w:rsidDel="00000000" w:rsidP="00000000" w:rsidRDefault="00000000" w:rsidRPr="00000000" w14:paraId="00000057">
      <w:pPr>
        <w:numPr>
          <w:ilvl w:val="0"/>
          <w:numId w:val="3"/>
        </w:numPr>
        <w:spacing w:line="276" w:lineRule="auto"/>
        <w:ind w:left="720" w:hanging="360"/>
      </w:pPr>
      <w:r w:rsidDel="00000000" w:rsidR="00000000" w:rsidRPr="00000000">
        <w:rPr>
          <w:rtl w:val="0"/>
        </w:rPr>
        <w:t xml:space="preserve">The seriousness of any offence and relevance to the post applied for</w:t>
      </w:r>
    </w:p>
    <w:p w:rsidR="00000000" w:rsidDel="00000000" w:rsidP="00000000" w:rsidRDefault="00000000" w:rsidRPr="00000000" w14:paraId="00000058">
      <w:pPr>
        <w:numPr>
          <w:ilvl w:val="0"/>
          <w:numId w:val="3"/>
        </w:numPr>
        <w:spacing w:line="276" w:lineRule="auto"/>
        <w:ind w:left="720" w:hanging="360"/>
      </w:pPr>
      <w:r w:rsidDel="00000000" w:rsidR="00000000" w:rsidRPr="00000000">
        <w:rPr>
          <w:rtl w:val="0"/>
        </w:rPr>
        <w:t xml:space="preserve">How long ago the offence occurred</w:t>
      </w:r>
    </w:p>
    <w:p w:rsidR="00000000" w:rsidDel="00000000" w:rsidP="00000000" w:rsidRDefault="00000000" w:rsidRPr="00000000" w14:paraId="00000059">
      <w:pPr>
        <w:numPr>
          <w:ilvl w:val="0"/>
          <w:numId w:val="3"/>
        </w:numPr>
        <w:spacing w:line="276" w:lineRule="auto"/>
        <w:ind w:left="720" w:hanging="360"/>
      </w:pPr>
      <w:r w:rsidDel="00000000" w:rsidR="00000000" w:rsidRPr="00000000">
        <w:rPr>
          <w:rtl w:val="0"/>
        </w:rPr>
        <w:t xml:space="preserve">Whether it was a one-off incident or a history of incidents</w:t>
      </w:r>
    </w:p>
    <w:p w:rsidR="00000000" w:rsidDel="00000000" w:rsidP="00000000" w:rsidRDefault="00000000" w:rsidRPr="00000000" w14:paraId="0000005A">
      <w:pPr>
        <w:numPr>
          <w:ilvl w:val="0"/>
          <w:numId w:val="3"/>
        </w:numPr>
        <w:spacing w:line="276" w:lineRule="auto"/>
        <w:ind w:left="720" w:hanging="360"/>
      </w:pPr>
      <w:r w:rsidDel="00000000" w:rsidR="00000000" w:rsidRPr="00000000">
        <w:rPr>
          <w:rtl w:val="0"/>
        </w:rPr>
        <w:t xml:space="preserve">The circumstances around the incident</w:t>
      </w:r>
    </w:p>
    <w:p w:rsidR="00000000" w:rsidDel="00000000" w:rsidP="00000000" w:rsidRDefault="00000000" w:rsidRPr="00000000" w14:paraId="0000005B">
      <w:pPr>
        <w:numPr>
          <w:ilvl w:val="0"/>
          <w:numId w:val="3"/>
        </w:numPr>
        <w:spacing w:line="276" w:lineRule="auto"/>
        <w:ind w:left="720" w:hanging="360"/>
      </w:pPr>
      <w:r w:rsidDel="00000000" w:rsidR="00000000" w:rsidRPr="00000000">
        <w:rPr>
          <w:rtl w:val="0"/>
        </w:rPr>
        <w:t xml:space="preserve">Whether the applicant accepted responsibility for their actions</w:t>
      </w:r>
    </w:p>
    <w:p w:rsidR="00000000" w:rsidDel="00000000" w:rsidP="00000000" w:rsidRDefault="00000000" w:rsidRPr="00000000" w14:paraId="0000005C">
      <w:pPr>
        <w:spacing w:line="276" w:lineRule="auto"/>
        <w:rPr/>
      </w:pP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t xml:space="preserve">Staff will then assess whether applicants’ previous convictions or cautions make them unsuitable for the role.  We will not ask applicants about protected convictions and cautions.</w:t>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t xml:space="preserve">A section 128 check will be requested for all roles that relate to the management of the school including but not limited to governors, trustees, directors and headteachers.</w:t>
      </w:r>
    </w:p>
    <w:p w:rsidR="00000000" w:rsidDel="00000000" w:rsidP="00000000" w:rsidRDefault="00000000" w:rsidRPr="00000000" w14:paraId="00000060">
      <w:pPr>
        <w:pStyle w:val="Heading2"/>
        <w:spacing w:line="276" w:lineRule="auto"/>
        <w:rPr/>
      </w:pPr>
      <w:bookmarkStart w:colFirst="0" w:colLast="0" w:name="_v5nuu2kigdqp" w:id="8"/>
      <w:bookmarkEnd w:id="8"/>
      <w:r w:rsidDel="00000000" w:rsidR="00000000" w:rsidRPr="00000000">
        <w:rPr>
          <w:rtl w:val="0"/>
        </w:rPr>
        <w:t xml:space="preserve">Legal and Policy Framework</w:t>
      </w:r>
    </w:p>
    <w:p w:rsidR="00000000" w:rsidDel="00000000" w:rsidP="00000000" w:rsidRDefault="00000000" w:rsidRPr="00000000" w14:paraId="00000061">
      <w:pPr>
        <w:spacing w:line="276" w:lineRule="auto"/>
        <w:rPr/>
      </w:pPr>
      <w:r w:rsidDel="00000000" w:rsidR="00000000" w:rsidRPr="00000000">
        <w:rPr>
          <w:rtl w:val="0"/>
        </w:rPr>
        <w:t xml:space="preserve">The Trust’s recruitment practices aligns with the following;</w:t>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numPr>
          <w:ilvl w:val="0"/>
          <w:numId w:val="4"/>
        </w:numPr>
        <w:spacing w:line="276" w:lineRule="auto"/>
        <w:ind w:left="720" w:hanging="360"/>
        <w:rPr>
          <w:u w:val="none"/>
        </w:rPr>
      </w:pPr>
      <w:r w:rsidDel="00000000" w:rsidR="00000000" w:rsidRPr="00000000">
        <w:rPr>
          <w:rtl w:val="0"/>
        </w:rPr>
        <w:t xml:space="preserve">Keeping Children Safe In Education</w:t>
      </w:r>
    </w:p>
    <w:p w:rsidR="00000000" w:rsidDel="00000000" w:rsidP="00000000" w:rsidRDefault="00000000" w:rsidRPr="00000000" w14:paraId="00000064">
      <w:pPr>
        <w:numPr>
          <w:ilvl w:val="0"/>
          <w:numId w:val="4"/>
        </w:numPr>
        <w:spacing w:line="276" w:lineRule="auto"/>
        <w:ind w:left="720" w:hanging="360"/>
        <w:rPr>
          <w:u w:val="none"/>
        </w:rPr>
      </w:pPr>
      <w:r w:rsidDel="00000000" w:rsidR="00000000" w:rsidRPr="00000000">
        <w:rPr>
          <w:rtl w:val="0"/>
        </w:rPr>
        <w:t xml:space="preserve">The DBS Code of Practice</w:t>
      </w:r>
    </w:p>
    <w:p w:rsidR="00000000" w:rsidDel="00000000" w:rsidP="00000000" w:rsidRDefault="00000000" w:rsidRPr="00000000" w14:paraId="00000065">
      <w:pPr>
        <w:numPr>
          <w:ilvl w:val="0"/>
          <w:numId w:val="4"/>
        </w:numPr>
        <w:spacing w:line="276" w:lineRule="auto"/>
        <w:ind w:left="720" w:hanging="360"/>
        <w:rPr>
          <w:u w:val="none"/>
        </w:rPr>
      </w:pPr>
      <w:r w:rsidDel="00000000" w:rsidR="00000000" w:rsidRPr="00000000">
        <w:rPr>
          <w:rtl w:val="0"/>
        </w:rPr>
        <w:t xml:space="preserve">The Equality Act 2010</w:t>
      </w:r>
    </w:p>
    <w:p w:rsidR="00000000" w:rsidDel="00000000" w:rsidP="00000000" w:rsidRDefault="00000000" w:rsidRPr="00000000" w14:paraId="00000066">
      <w:pPr>
        <w:numPr>
          <w:ilvl w:val="0"/>
          <w:numId w:val="4"/>
        </w:numPr>
        <w:spacing w:line="276" w:lineRule="auto"/>
        <w:ind w:left="720" w:hanging="360"/>
        <w:rPr>
          <w:u w:val="none"/>
        </w:rPr>
      </w:pPr>
      <w:r w:rsidDel="00000000" w:rsidR="00000000" w:rsidRPr="00000000">
        <w:rPr>
          <w:rtl w:val="0"/>
        </w:rPr>
        <w:t xml:space="preserve">Data Protection (GDPR) principles</w:t>
      </w:r>
    </w:p>
    <w:p w:rsidR="00000000" w:rsidDel="00000000" w:rsidP="00000000" w:rsidRDefault="00000000" w:rsidRPr="00000000" w14:paraId="00000067">
      <w:pPr>
        <w:numPr>
          <w:ilvl w:val="0"/>
          <w:numId w:val="4"/>
        </w:numPr>
        <w:spacing w:line="276" w:lineRule="auto"/>
        <w:ind w:left="720" w:hanging="360"/>
        <w:rPr>
          <w:u w:val="none"/>
        </w:rPr>
      </w:pPr>
      <w:r w:rsidDel="00000000" w:rsidR="00000000" w:rsidRPr="00000000">
        <w:rPr>
          <w:rtl w:val="0"/>
        </w:rPr>
        <w:t xml:space="preserve">MAT policies for Safeguarding and Safer Recruitment</w:t>
      </w:r>
    </w:p>
    <w:p w:rsidR="00000000" w:rsidDel="00000000" w:rsidP="00000000" w:rsidRDefault="00000000" w:rsidRPr="00000000" w14:paraId="00000068">
      <w:pPr>
        <w:pStyle w:val="Heading2"/>
        <w:spacing w:line="276" w:lineRule="auto"/>
        <w:rPr/>
      </w:pPr>
      <w:bookmarkStart w:colFirst="0" w:colLast="0" w:name="_649rfggfmx8s" w:id="9"/>
      <w:bookmarkEnd w:id="9"/>
      <w:r w:rsidDel="00000000" w:rsidR="00000000" w:rsidRPr="00000000">
        <w:rPr>
          <w:rtl w:val="0"/>
        </w:rPr>
        <w:t xml:space="preserve">Policy Availability</w:t>
      </w:r>
    </w:p>
    <w:p w:rsidR="00000000" w:rsidDel="00000000" w:rsidP="00000000" w:rsidRDefault="00000000" w:rsidRPr="00000000" w14:paraId="00000069">
      <w:pPr>
        <w:spacing w:line="276" w:lineRule="auto"/>
        <w:rPr/>
      </w:pPr>
      <w:r w:rsidDel="00000000" w:rsidR="00000000" w:rsidRPr="00000000">
        <w:rPr>
          <w:rtl w:val="0"/>
        </w:rPr>
        <w:t xml:space="preserve">This policy is available to all candidates as part of the recruitment process and can be accessed through the Trust’s website or by request.</w:t>
      </w:r>
    </w:p>
    <w:p w:rsidR="00000000" w:rsidDel="00000000" w:rsidP="00000000" w:rsidRDefault="00000000" w:rsidRPr="00000000" w14:paraId="0000006A">
      <w:pPr>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Rubi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ageBreakBefore w:val="0"/>
      <w:spacing w:line="240" w:lineRule="auto"/>
      <w:rPr>
        <w:rFonts w:ascii="Rubik" w:cs="Rubik" w:eastAsia="Rubik" w:hAnsi="Rubik"/>
        <w:sz w:val="24"/>
        <w:szCs w:val="24"/>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ubik-regular.ttf"/><Relationship Id="rId2" Type="http://schemas.openxmlformats.org/officeDocument/2006/relationships/font" Target="fonts/Rubik-bold.ttf"/><Relationship Id="rId3" Type="http://schemas.openxmlformats.org/officeDocument/2006/relationships/font" Target="fonts/Rubik-italic.ttf"/><Relationship Id="rId4" Type="http://schemas.openxmlformats.org/officeDocument/2006/relationships/font" Target="fonts/Rubi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