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66" w:type="dxa"/>
        <w:tblBorders>
          <w:top w:val="single" w:sz="12" w:space="0" w:color="546421"/>
          <w:left w:val="single" w:sz="12" w:space="0" w:color="546421"/>
          <w:bottom w:val="single" w:sz="12" w:space="0" w:color="546421"/>
          <w:right w:val="single" w:sz="12" w:space="0" w:color="546421"/>
          <w:insideH w:val="single" w:sz="12" w:space="0" w:color="546421"/>
          <w:insideV w:val="single" w:sz="12" w:space="0" w:color="546421"/>
        </w:tblBorders>
        <w:shd w:val="clear" w:color="auto" w:fill="FFFFFF"/>
        <w:tblLook w:val="04A0" w:firstRow="1" w:lastRow="0" w:firstColumn="1" w:lastColumn="0" w:noHBand="0" w:noVBand="1"/>
      </w:tblPr>
      <w:tblGrid>
        <w:gridCol w:w="1701"/>
        <w:gridCol w:w="7265"/>
      </w:tblGrid>
      <w:tr w:rsidR="00E67733" w:rsidRPr="00E67733" w14:paraId="3B887FC2" w14:textId="77777777" w:rsidTr="00E67733">
        <w:tc>
          <w:tcPr>
            <w:tcW w:w="8966" w:type="dxa"/>
            <w:gridSpan w:val="2"/>
            <w:tcBorders>
              <w:top w:val="nil"/>
              <w:left w:val="nil"/>
              <w:bottom w:val="single" w:sz="4" w:space="0" w:color="auto"/>
              <w:right w:val="nil"/>
            </w:tcBorders>
            <w:shd w:val="clear" w:color="auto" w:fill="FFFFFF"/>
          </w:tcPr>
          <w:p w14:paraId="4E15F5EE" w14:textId="77777777" w:rsidR="00E67733" w:rsidRPr="00E67733" w:rsidRDefault="00E67733" w:rsidP="00E67733">
            <w:pPr>
              <w:jc w:val="center"/>
              <w:rPr>
                <w:rFonts w:ascii="Calibri" w:eastAsia="Times New Roman" w:hAnsi="Calibri" w:cs="Arial"/>
                <w:b/>
                <w:sz w:val="28"/>
                <w:lang w:val="en-US"/>
              </w:rPr>
            </w:pPr>
          </w:p>
        </w:tc>
      </w:tr>
      <w:tr w:rsidR="00E67733" w:rsidRPr="00E67733" w14:paraId="2E63CF2D" w14:textId="77777777" w:rsidTr="00EF0500">
        <w:tc>
          <w:tcPr>
            <w:tcW w:w="8966" w:type="dxa"/>
            <w:gridSpan w:val="2"/>
            <w:tcBorders>
              <w:top w:val="single" w:sz="4" w:space="0" w:color="auto"/>
              <w:left w:val="single" w:sz="4" w:space="0" w:color="auto"/>
              <w:bottom w:val="single" w:sz="4" w:space="0" w:color="auto"/>
              <w:right w:val="single" w:sz="4" w:space="0" w:color="auto"/>
            </w:tcBorders>
            <w:shd w:val="clear" w:color="auto" w:fill="4389D7" w:themeFill="text2" w:themeFillTint="99"/>
          </w:tcPr>
          <w:p w14:paraId="3FB56049" w14:textId="49021024" w:rsidR="008B227C" w:rsidRPr="008B227C" w:rsidRDefault="008B227C" w:rsidP="008B227C">
            <w:pPr>
              <w:jc w:val="center"/>
              <w:rPr>
                <w:rFonts w:ascii="Calibri" w:eastAsia="Times New Roman" w:hAnsi="Calibri" w:cs="Arial"/>
                <w:b/>
                <w:sz w:val="32"/>
                <w:szCs w:val="24"/>
                <w:lang w:val="en-US"/>
              </w:rPr>
            </w:pPr>
            <w:r w:rsidRPr="008B227C">
              <w:rPr>
                <w:rFonts w:ascii="Calibri" w:eastAsia="Times New Roman" w:hAnsi="Calibri" w:cs="Arial"/>
                <w:b/>
                <w:sz w:val="32"/>
                <w:szCs w:val="24"/>
                <w:lang w:val="en-US"/>
              </w:rPr>
              <w:t xml:space="preserve">Financial Systems </w:t>
            </w:r>
            <w:proofErr w:type="gramStart"/>
            <w:r w:rsidRPr="008B227C">
              <w:rPr>
                <w:rFonts w:ascii="Calibri" w:eastAsia="Times New Roman" w:hAnsi="Calibri" w:cs="Arial"/>
                <w:b/>
                <w:sz w:val="32"/>
                <w:szCs w:val="24"/>
                <w:lang w:val="en-US"/>
              </w:rPr>
              <w:t>And</w:t>
            </w:r>
            <w:proofErr w:type="gramEnd"/>
            <w:r w:rsidRPr="008B227C">
              <w:rPr>
                <w:rFonts w:ascii="Calibri" w:eastAsia="Times New Roman" w:hAnsi="Calibri" w:cs="Arial"/>
                <w:b/>
                <w:sz w:val="32"/>
                <w:szCs w:val="24"/>
                <w:lang w:val="en-US"/>
              </w:rPr>
              <w:t xml:space="preserve"> Reporting </w:t>
            </w:r>
            <w:r w:rsidR="00134AC2">
              <w:rPr>
                <w:rFonts w:ascii="Calibri" w:eastAsia="Times New Roman" w:hAnsi="Calibri" w:cs="Arial"/>
                <w:b/>
                <w:sz w:val="32"/>
                <w:szCs w:val="24"/>
                <w:lang w:val="en-US"/>
              </w:rPr>
              <w:t>Officer</w:t>
            </w:r>
          </w:p>
          <w:p w14:paraId="7387736B" w14:textId="3557251E" w:rsidR="00E67733" w:rsidRPr="00E67733" w:rsidRDefault="00E67733" w:rsidP="00E67733">
            <w:pPr>
              <w:jc w:val="center"/>
              <w:rPr>
                <w:rFonts w:ascii="Calibri" w:eastAsia="Times New Roman" w:hAnsi="Calibri" w:cs="Arial"/>
                <w:b/>
                <w:color w:val="FFFFFF"/>
                <w:sz w:val="28"/>
                <w:lang w:val="en-US"/>
              </w:rPr>
            </w:pPr>
            <w:r w:rsidRPr="00E67733">
              <w:rPr>
                <w:rFonts w:ascii="Calibri" w:eastAsia="Times New Roman" w:hAnsi="Calibri" w:cs="Arial"/>
                <w:b/>
                <w:sz w:val="28"/>
                <w:lang w:val="en-US"/>
              </w:rPr>
              <w:t xml:space="preserve">Slough and East Berkshire </w:t>
            </w:r>
            <w:proofErr w:type="spellStart"/>
            <w:r w:rsidRPr="00E67733">
              <w:rPr>
                <w:rFonts w:ascii="Calibri" w:eastAsia="Times New Roman" w:hAnsi="Calibri" w:cs="Arial"/>
                <w:b/>
                <w:sz w:val="28"/>
                <w:lang w:val="en-US"/>
              </w:rPr>
              <w:t>CoE</w:t>
            </w:r>
            <w:proofErr w:type="spellEnd"/>
            <w:r w:rsidRPr="00E67733">
              <w:rPr>
                <w:rFonts w:ascii="Calibri" w:eastAsia="Times New Roman" w:hAnsi="Calibri" w:cs="Arial"/>
                <w:b/>
                <w:sz w:val="28"/>
                <w:lang w:val="en-US"/>
              </w:rPr>
              <w:t xml:space="preserve"> Multi-Academy Trust (SEBMAT)</w:t>
            </w:r>
          </w:p>
        </w:tc>
      </w:tr>
      <w:tr w:rsidR="00E67733" w:rsidRPr="00E67733" w14:paraId="64B3DBF9" w14:textId="77777777" w:rsidTr="00E67733">
        <w:tc>
          <w:tcPr>
            <w:tcW w:w="8966" w:type="dxa"/>
            <w:gridSpan w:val="2"/>
            <w:tcBorders>
              <w:top w:val="single" w:sz="4" w:space="0" w:color="auto"/>
              <w:left w:val="nil"/>
              <w:bottom w:val="single" w:sz="4" w:space="0" w:color="auto"/>
              <w:right w:val="nil"/>
            </w:tcBorders>
            <w:shd w:val="clear" w:color="auto" w:fill="FFFFFF"/>
          </w:tcPr>
          <w:p w14:paraId="460FBC33" w14:textId="77777777" w:rsidR="00E67733" w:rsidRPr="003560C5" w:rsidRDefault="00E67733" w:rsidP="00E67733">
            <w:pPr>
              <w:jc w:val="center"/>
              <w:rPr>
                <w:rFonts w:ascii="Calibri" w:eastAsia="Times New Roman" w:hAnsi="Calibri" w:cs="Arial"/>
                <w:b/>
                <w:sz w:val="10"/>
                <w:szCs w:val="8"/>
                <w:lang w:val="en-US"/>
              </w:rPr>
            </w:pPr>
          </w:p>
        </w:tc>
      </w:tr>
      <w:tr w:rsidR="00E67733" w:rsidRPr="00E67733" w14:paraId="302B0AFC" w14:textId="77777777" w:rsidTr="00B941B4">
        <w:tc>
          <w:tcPr>
            <w:tcW w:w="8966" w:type="dxa"/>
            <w:gridSpan w:val="2"/>
            <w:tcBorders>
              <w:top w:val="single" w:sz="4" w:space="0" w:color="auto"/>
              <w:left w:val="single" w:sz="4" w:space="0" w:color="auto"/>
              <w:bottom w:val="single" w:sz="4" w:space="0" w:color="auto"/>
              <w:right w:val="single" w:sz="4" w:space="0" w:color="auto"/>
            </w:tcBorders>
            <w:shd w:val="clear" w:color="auto" w:fill="59A9F2" w:themeFill="accent1" w:themeFillTint="99"/>
          </w:tcPr>
          <w:p w14:paraId="630ACB6D" w14:textId="77777777" w:rsidR="00E67733" w:rsidRPr="00E67733" w:rsidRDefault="00E67733" w:rsidP="00E67733">
            <w:pPr>
              <w:jc w:val="center"/>
              <w:rPr>
                <w:rFonts w:ascii="Calibri" w:eastAsia="Times New Roman" w:hAnsi="Calibri" w:cs="Arial"/>
                <w:b/>
                <w:color w:val="FFFFFF"/>
                <w:lang w:val="en-US"/>
              </w:rPr>
            </w:pPr>
            <w:r w:rsidRPr="00E67733">
              <w:rPr>
                <w:rFonts w:ascii="Calibri" w:eastAsia="Times New Roman" w:hAnsi="Calibri" w:cs="Arial"/>
                <w:b/>
                <w:sz w:val="24"/>
                <w:lang w:val="en-US"/>
              </w:rPr>
              <w:t>Job Description</w:t>
            </w:r>
          </w:p>
        </w:tc>
      </w:tr>
      <w:tr w:rsidR="00E67733" w:rsidRPr="00E67733" w14:paraId="0DEE0B28" w14:textId="77777777" w:rsidTr="00E67733">
        <w:tc>
          <w:tcPr>
            <w:tcW w:w="8966" w:type="dxa"/>
            <w:gridSpan w:val="2"/>
            <w:tcBorders>
              <w:top w:val="single" w:sz="4" w:space="0" w:color="auto"/>
              <w:left w:val="nil"/>
              <w:bottom w:val="single" w:sz="4" w:space="0" w:color="auto"/>
              <w:right w:val="nil"/>
            </w:tcBorders>
            <w:shd w:val="clear" w:color="auto" w:fill="FFFFFF"/>
          </w:tcPr>
          <w:p w14:paraId="7E513F15" w14:textId="77777777" w:rsidR="00E67733" w:rsidRPr="003560C5" w:rsidRDefault="00E67733" w:rsidP="00E67733">
            <w:pPr>
              <w:jc w:val="both"/>
              <w:rPr>
                <w:rFonts w:ascii="Calibri" w:eastAsia="Times New Roman" w:hAnsi="Calibri" w:cs="Arial"/>
                <w:sz w:val="10"/>
                <w:szCs w:val="10"/>
                <w:lang w:val="en-US"/>
              </w:rPr>
            </w:pPr>
          </w:p>
        </w:tc>
      </w:tr>
      <w:tr w:rsidR="00E67733" w:rsidRPr="00E67733" w14:paraId="191359D5" w14:textId="77777777" w:rsidTr="00B941B4">
        <w:tc>
          <w:tcPr>
            <w:tcW w:w="1701" w:type="dxa"/>
            <w:tcBorders>
              <w:top w:val="single" w:sz="4" w:space="0" w:color="auto"/>
              <w:left w:val="single" w:sz="4" w:space="0" w:color="auto"/>
              <w:bottom w:val="single" w:sz="4" w:space="0" w:color="auto"/>
              <w:right w:val="single" w:sz="4" w:space="0" w:color="auto"/>
            </w:tcBorders>
            <w:shd w:val="clear" w:color="auto" w:fill="59A9F2" w:themeFill="accent1" w:themeFillTint="99"/>
          </w:tcPr>
          <w:p w14:paraId="002EC132" w14:textId="64944EE8" w:rsidR="00E67733" w:rsidRPr="00E67733" w:rsidRDefault="0012445A" w:rsidP="0012445A">
            <w:pPr>
              <w:jc w:val="both"/>
              <w:rPr>
                <w:rFonts w:ascii="Calibri" w:eastAsia="Times New Roman" w:hAnsi="Calibri" w:cs="Arial"/>
                <w:lang w:val="en-US"/>
              </w:rPr>
            </w:pPr>
            <w:r>
              <w:rPr>
                <w:rFonts w:ascii="Calibri" w:eastAsia="Times New Roman" w:hAnsi="Calibri" w:cs="Arial"/>
                <w:b/>
                <w:lang w:val="en-US"/>
              </w:rPr>
              <w:t xml:space="preserve">Responsible </w:t>
            </w:r>
            <w:r w:rsidR="00E67733" w:rsidRPr="00E67733">
              <w:rPr>
                <w:rFonts w:ascii="Calibri" w:eastAsia="Times New Roman" w:hAnsi="Calibri" w:cs="Arial"/>
                <w:b/>
                <w:lang w:val="en-US"/>
              </w:rPr>
              <w:t>to</w:t>
            </w:r>
          </w:p>
        </w:tc>
        <w:tc>
          <w:tcPr>
            <w:tcW w:w="7265" w:type="dxa"/>
            <w:tcBorders>
              <w:top w:val="single" w:sz="4" w:space="0" w:color="auto"/>
              <w:left w:val="single" w:sz="4" w:space="0" w:color="auto"/>
              <w:bottom w:val="single" w:sz="4" w:space="0" w:color="auto"/>
              <w:right w:val="single" w:sz="4" w:space="0" w:color="auto"/>
            </w:tcBorders>
            <w:shd w:val="clear" w:color="auto" w:fill="FFFFFF"/>
          </w:tcPr>
          <w:p w14:paraId="1CB64F77" w14:textId="34834DE0" w:rsidR="00E67733" w:rsidRPr="00E67733" w:rsidRDefault="00545B28" w:rsidP="0012445A">
            <w:pPr>
              <w:jc w:val="both"/>
              <w:rPr>
                <w:rFonts w:ascii="Calibri" w:eastAsia="Times New Roman" w:hAnsi="Calibri" w:cs="Arial"/>
                <w:lang w:val="en-US"/>
              </w:rPr>
            </w:pPr>
            <w:r>
              <w:rPr>
                <w:rFonts w:ascii="Calibri" w:eastAsia="Times New Roman" w:hAnsi="Calibri" w:cs="Arial"/>
                <w:lang w:val="en-US"/>
              </w:rPr>
              <w:t>Finance Director</w:t>
            </w:r>
            <w:r w:rsidR="0057168F">
              <w:rPr>
                <w:rFonts w:ascii="Calibri" w:eastAsia="Times New Roman" w:hAnsi="Calibri" w:cs="Arial"/>
                <w:lang w:val="en-US"/>
              </w:rPr>
              <w:t xml:space="preserve"> (FD)</w:t>
            </w:r>
          </w:p>
        </w:tc>
      </w:tr>
      <w:tr w:rsidR="00E67733" w:rsidRPr="009701F3" w14:paraId="6F072AA7" w14:textId="77777777" w:rsidTr="00B941B4">
        <w:tc>
          <w:tcPr>
            <w:tcW w:w="1701" w:type="dxa"/>
            <w:tcBorders>
              <w:top w:val="single" w:sz="4" w:space="0" w:color="auto"/>
              <w:left w:val="single" w:sz="4" w:space="0" w:color="auto"/>
              <w:bottom w:val="single" w:sz="4" w:space="0" w:color="auto"/>
              <w:right w:val="single" w:sz="4" w:space="0" w:color="auto"/>
            </w:tcBorders>
            <w:shd w:val="clear" w:color="auto" w:fill="59A9F2" w:themeFill="accent1" w:themeFillTint="99"/>
          </w:tcPr>
          <w:p w14:paraId="1669FAD3" w14:textId="2C39291A" w:rsidR="00E67733" w:rsidRPr="002C1C8A" w:rsidRDefault="002C1C8A" w:rsidP="0012445A">
            <w:pPr>
              <w:jc w:val="both"/>
              <w:rPr>
                <w:rFonts w:ascii="Calibri" w:eastAsia="Times New Roman" w:hAnsi="Calibri" w:cs="Arial"/>
                <w:b/>
                <w:bCs/>
                <w:lang w:val="en-US"/>
              </w:rPr>
            </w:pPr>
            <w:r w:rsidRPr="002C1C8A">
              <w:rPr>
                <w:rFonts w:ascii="Calibri" w:eastAsia="Times New Roman" w:hAnsi="Calibri" w:cs="Arial"/>
                <w:b/>
                <w:bCs/>
                <w:lang w:val="en-US"/>
              </w:rPr>
              <w:t>Scale / Point</w:t>
            </w:r>
          </w:p>
        </w:tc>
        <w:tc>
          <w:tcPr>
            <w:tcW w:w="7265" w:type="dxa"/>
            <w:tcBorders>
              <w:top w:val="single" w:sz="4" w:space="0" w:color="auto"/>
              <w:left w:val="single" w:sz="4" w:space="0" w:color="auto"/>
              <w:bottom w:val="single" w:sz="4" w:space="0" w:color="auto"/>
              <w:right w:val="single" w:sz="4" w:space="0" w:color="auto"/>
            </w:tcBorders>
            <w:shd w:val="clear" w:color="auto" w:fill="FFFFFF"/>
          </w:tcPr>
          <w:p w14:paraId="09C1C3EE" w14:textId="67CCB469" w:rsidR="00B247CB" w:rsidRDefault="00134AC2" w:rsidP="0012445A">
            <w:pPr>
              <w:rPr>
                <w:rFonts w:cstheme="minorHAnsi"/>
              </w:rPr>
            </w:pPr>
            <w:r w:rsidRPr="009701F3">
              <w:rPr>
                <w:rFonts w:cstheme="minorHAnsi"/>
              </w:rPr>
              <w:t xml:space="preserve">Scale </w:t>
            </w:r>
            <w:r w:rsidR="00772135">
              <w:rPr>
                <w:rFonts w:cstheme="minorHAnsi"/>
              </w:rPr>
              <w:t>6</w:t>
            </w:r>
            <w:r w:rsidR="003C2430" w:rsidRPr="009701F3">
              <w:rPr>
                <w:rFonts w:cstheme="minorHAnsi"/>
              </w:rPr>
              <w:t xml:space="preserve">, Point </w:t>
            </w:r>
            <w:r w:rsidR="00772135">
              <w:rPr>
                <w:rFonts w:cstheme="minorHAnsi"/>
              </w:rPr>
              <w:t>24</w:t>
            </w:r>
            <w:r w:rsidR="00E33304" w:rsidRPr="009701F3">
              <w:rPr>
                <w:rFonts w:cstheme="minorHAnsi"/>
              </w:rPr>
              <w:t xml:space="preserve"> to </w:t>
            </w:r>
            <w:r w:rsidR="00184C93" w:rsidRPr="009701F3">
              <w:rPr>
                <w:rFonts w:cstheme="minorHAnsi"/>
              </w:rPr>
              <w:t xml:space="preserve">Scale </w:t>
            </w:r>
            <w:r w:rsidR="00603CF8">
              <w:rPr>
                <w:rFonts w:cstheme="minorHAnsi"/>
              </w:rPr>
              <w:t>7</w:t>
            </w:r>
            <w:r w:rsidR="00184C93" w:rsidRPr="009701F3">
              <w:rPr>
                <w:rFonts w:cstheme="minorHAnsi"/>
              </w:rPr>
              <w:t xml:space="preserve">, Point </w:t>
            </w:r>
            <w:r w:rsidR="00603CF8">
              <w:rPr>
                <w:rFonts w:cstheme="minorHAnsi"/>
              </w:rPr>
              <w:t>35</w:t>
            </w:r>
            <w:r w:rsidR="00184C93" w:rsidRPr="009701F3">
              <w:rPr>
                <w:rFonts w:cstheme="minorHAnsi"/>
              </w:rPr>
              <w:t xml:space="preserve"> (£</w:t>
            </w:r>
            <w:r w:rsidR="0076164A">
              <w:rPr>
                <w:rFonts w:cstheme="minorHAnsi"/>
              </w:rPr>
              <w:t>3</w:t>
            </w:r>
            <w:r w:rsidR="00603CF8">
              <w:rPr>
                <w:rFonts w:cstheme="minorHAnsi"/>
              </w:rPr>
              <w:t>6,508</w:t>
            </w:r>
            <w:r w:rsidR="0076164A">
              <w:rPr>
                <w:rFonts w:cstheme="minorHAnsi"/>
              </w:rPr>
              <w:t xml:space="preserve"> </w:t>
            </w:r>
            <w:r w:rsidR="00184C93" w:rsidRPr="009701F3">
              <w:rPr>
                <w:rFonts w:cstheme="minorHAnsi"/>
              </w:rPr>
              <w:t>-</w:t>
            </w:r>
            <w:r w:rsidR="009701F3" w:rsidRPr="009701F3">
              <w:rPr>
                <w:rFonts w:cstheme="minorHAnsi"/>
              </w:rPr>
              <w:t>£</w:t>
            </w:r>
            <w:r w:rsidR="00F27394">
              <w:rPr>
                <w:rFonts w:cstheme="minorHAnsi"/>
              </w:rPr>
              <w:t>4</w:t>
            </w:r>
            <w:r w:rsidR="00603CF8">
              <w:rPr>
                <w:rFonts w:cstheme="minorHAnsi"/>
              </w:rPr>
              <w:t>7,238</w:t>
            </w:r>
            <w:r w:rsidR="009701F3" w:rsidRPr="009701F3">
              <w:rPr>
                <w:rFonts w:cstheme="minorHAnsi"/>
              </w:rPr>
              <w:t xml:space="preserve">) </w:t>
            </w:r>
            <w:r w:rsidR="00F27394">
              <w:rPr>
                <w:rFonts w:cstheme="minorHAnsi"/>
              </w:rPr>
              <w:t xml:space="preserve">Inflationary </w:t>
            </w:r>
            <w:r w:rsidR="00E508A6">
              <w:rPr>
                <w:rFonts w:cstheme="minorHAnsi"/>
              </w:rPr>
              <w:t>p</w:t>
            </w:r>
            <w:r w:rsidR="00F27394">
              <w:rPr>
                <w:rFonts w:cstheme="minorHAnsi"/>
              </w:rPr>
              <w:t>ay review pending</w:t>
            </w:r>
            <w:r w:rsidR="00603CF8">
              <w:rPr>
                <w:rFonts w:cstheme="minorHAnsi"/>
              </w:rPr>
              <w:t>,</w:t>
            </w:r>
            <w:r w:rsidR="00E508A6">
              <w:rPr>
                <w:rFonts w:cstheme="minorHAnsi"/>
              </w:rPr>
              <w:t xml:space="preserve"> pay will be dependent on experience</w:t>
            </w:r>
          </w:p>
          <w:p w14:paraId="7AC83E33" w14:textId="432DDCE8" w:rsidR="009701F3" w:rsidRPr="009701F3" w:rsidRDefault="009701F3" w:rsidP="0012445A">
            <w:pPr>
              <w:rPr>
                <w:rFonts w:cstheme="minorHAnsi"/>
              </w:rPr>
            </w:pPr>
          </w:p>
        </w:tc>
      </w:tr>
      <w:tr w:rsidR="00E67733" w:rsidRPr="00E67733" w14:paraId="70178CB3" w14:textId="77777777" w:rsidTr="00B941B4">
        <w:tc>
          <w:tcPr>
            <w:tcW w:w="1701" w:type="dxa"/>
            <w:tcBorders>
              <w:top w:val="single" w:sz="4" w:space="0" w:color="auto"/>
              <w:left w:val="single" w:sz="4" w:space="0" w:color="auto"/>
              <w:bottom w:val="single" w:sz="4" w:space="0" w:color="auto"/>
              <w:right w:val="single" w:sz="4" w:space="0" w:color="auto"/>
            </w:tcBorders>
            <w:shd w:val="clear" w:color="auto" w:fill="59A9F2" w:themeFill="accent1" w:themeFillTint="99"/>
          </w:tcPr>
          <w:p w14:paraId="00FC39E4" w14:textId="6EA63291" w:rsidR="00E67733" w:rsidRPr="00E67733" w:rsidRDefault="0012445A" w:rsidP="0012445A">
            <w:pPr>
              <w:jc w:val="both"/>
              <w:rPr>
                <w:rFonts w:ascii="Calibri" w:eastAsia="Times New Roman" w:hAnsi="Calibri" w:cs="Arial"/>
                <w:b/>
                <w:lang w:val="en-US"/>
              </w:rPr>
            </w:pPr>
            <w:r>
              <w:rPr>
                <w:rFonts w:ascii="Calibri" w:eastAsia="Times New Roman" w:hAnsi="Calibri" w:cs="Arial"/>
                <w:b/>
                <w:lang w:val="en-US"/>
              </w:rPr>
              <w:t>Contr</w:t>
            </w:r>
            <w:r w:rsidRPr="00B941B4">
              <w:rPr>
                <w:rFonts w:ascii="Calibri" w:eastAsia="Times New Roman" w:hAnsi="Calibri" w:cs="Arial"/>
                <w:b/>
                <w:lang w:val="en-US"/>
              </w:rPr>
              <w:t>act</w:t>
            </w:r>
          </w:p>
        </w:tc>
        <w:tc>
          <w:tcPr>
            <w:tcW w:w="7265" w:type="dxa"/>
            <w:tcBorders>
              <w:top w:val="single" w:sz="4" w:space="0" w:color="auto"/>
              <w:left w:val="single" w:sz="4" w:space="0" w:color="auto"/>
              <w:bottom w:val="single" w:sz="4" w:space="0" w:color="auto"/>
              <w:right w:val="single" w:sz="4" w:space="0" w:color="auto"/>
            </w:tcBorders>
            <w:shd w:val="clear" w:color="auto" w:fill="FFFFFF"/>
          </w:tcPr>
          <w:p w14:paraId="74EBC885" w14:textId="6ECC19BD" w:rsidR="00B247CB" w:rsidRDefault="002C1C8A" w:rsidP="0012445A">
            <w:pPr>
              <w:rPr>
                <w:rFonts w:cstheme="minorHAnsi"/>
              </w:rPr>
            </w:pPr>
            <w:r>
              <w:rPr>
                <w:rFonts w:cstheme="minorHAnsi"/>
              </w:rPr>
              <w:t>Full Time</w:t>
            </w:r>
          </w:p>
          <w:p w14:paraId="67457E9F" w14:textId="0F02AE77" w:rsidR="00E67733" w:rsidRPr="0012445A" w:rsidRDefault="00B247CB" w:rsidP="0012445A">
            <w:pPr>
              <w:rPr>
                <w:rFonts w:cstheme="minorHAnsi"/>
              </w:rPr>
            </w:pPr>
            <w:r>
              <w:rPr>
                <w:rFonts w:cstheme="minorHAnsi"/>
              </w:rPr>
              <w:t>Part-time option maybe considered for the right candidate</w:t>
            </w:r>
          </w:p>
        </w:tc>
      </w:tr>
      <w:tr w:rsidR="0012445A" w:rsidRPr="00E67733" w14:paraId="19C94773" w14:textId="77777777" w:rsidTr="00B941B4">
        <w:tc>
          <w:tcPr>
            <w:tcW w:w="1701" w:type="dxa"/>
            <w:tcBorders>
              <w:top w:val="single" w:sz="4" w:space="0" w:color="auto"/>
              <w:left w:val="single" w:sz="4" w:space="0" w:color="auto"/>
              <w:bottom w:val="single" w:sz="4" w:space="0" w:color="auto"/>
              <w:right w:val="single" w:sz="4" w:space="0" w:color="auto"/>
            </w:tcBorders>
            <w:shd w:val="clear" w:color="auto" w:fill="59A9F2" w:themeFill="accent1" w:themeFillTint="99"/>
          </w:tcPr>
          <w:p w14:paraId="5F6F5D36" w14:textId="5E7AFB58" w:rsidR="0012445A" w:rsidRPr="00E67733" w:rsidRDefault="0012445A" w:rsidP="0012445A">
            <w:pPr>
              <w:jc w:val="both"/>
              <w:rPr>
                <w:rFonts w:ascii="Calibri" w:eastAsia="Times New Roman" w:hAnsi="Calibri" w:cs="Arial"/>
                <w:b/>
                <w:lang w:val="en-US"/>
              </w:rPr>
            </w:pPr>
            <w:r>
              <w:rPr>
                <w:rFonts w:ascii="Calibri" w:eastAsia="Times New Roman" w:hAnsi="Calibri" w:cs="Arial"/>
                <w:b/>
                <w:lang w:val="en-US"/>
              </w:rPr>
              <w:t>Location</w:t>
            </w:r>
          </w:p>
        </w:tc>
        <w:tc>
          <w:tcPr>
            <w:tcW w:w="7265" w:type="dxa"/>
            <w:tcBorders>
              <w:top w:val="single" w:sz="4" w:space="0" w:color="auto"/>
              <w:left w:val="single" w:sz="4" w:space="0" w:color="auto"/>
              <w:bottom w:val="single" w:sz="4" w:space="0" w:color="auto"/>
              <w:right w:val="single" w:sz="4" w:space="0" w:color="auto"/>
            </w:tcBorders>
            <w:shd w:val="clear" w:color="auto" w:fill="FFFFFF"/>
          </w:tcPr>
          <w:p w14:paraId="4E57CFBC" w14:textId="1F1CA908" w:rsidR="0012445A" w:rsidRPr="0012445A" w:rsidRDefault="00586E03" w:rsidP="0012445A">
            <w:pPr>
              <w:rPr>
                <w:rFonts w:cstheme="minorHAnsi"/>
              </w:rPr>
            </w:pPr>
            <w:r>
              <w:rPr>
                <w:rFonts w:cstheme="minorHAnsi"/>
              </w:rPr>
              <w:t>SEBMAT offices, Slough, SL2 5AY</w:t>
            </w:r>
          </w:p>
        </w:tc>
      </w:tr>
      <w:tr w:rsidR="00E67733" w:rsidRPr="00E67733" w14:paraId="11D8CA8D" w14:textId="77777777" w:rsidTr="00B941B4">
        <w:tc>
          <w:tcPr>
            <w:tcW w:w="1701" w:type="dxa"/>
            <w:tcBorders>
              <w:top w:val="single" w:sz="4" w:space="0" w:color="auto"/>
              <w:left w:val="single" w:sz="4" w:space="0" w:color="auto"/>
              <w:bottom w:val="single" w:sz="4" w:space="0" w:color="auto"/>
              <w:right w:val="single" w:sz="4" w:space="0" w:color="auto"/>
            </w:tcBorders>
            <w:shd w:val="clear" w:color="auto" w:fill="59A9F2" w:themeFill="accent1" w:themeFillTint="99"/>
          </w:tcPr>
          <w:p w14:paraId="527DACC2" w14:textId="0331666E" w:rsidR="00E67733" w:rsidRPr="00E67733" w:rsidRDefault="0012445A" w:rsidP="0012445A">
            <w:pPr>
              <w:jc w:val="both"/>
              <w:rPr>
                <w:rFonts w:ascii="Calibri" w:eastAsia="Times New Roman" w:hAnsi="Calibri" w:cs="Arial"/>
                <w:b/>
                <w:lang w:val="en-US"/>
              </w:rPr>
            </w:pPr>
            <w:r>
              <w:rPr>
                <w:rFonts w:ascii="Calibri" w:eastAsia="Times New Roman" w:hAnsi="Calibri" w:cs="Arial"/>
                <w:b/>
                <w:lang w:val="en-US"/>
              </w:rPr>
              <w:t>Start Date</w:t>
            </w:r>
          </w:p>
        </w:tc>
        <w:tc>
          <w:tcPr>
            <w:tcW w:w="7265" w:type="dxa"/>
            <w:tcBorders>
              <w:top w:val="single" w:sz="4" w:space="0" w:color="auto"/>
              <w:left w:val="single" w:sz="4" w:space="0" w:color="auto"/>
              <w:bottom w:val="single" w:sz="4" w:space="0" w:color="auto"/>
              <w:right w:val="single" w:sz="4" w:space="0" w:color="auto"/>
            </w:tcBorders>
            <w:shd w:val="clear" w:color="auto" w:fill="FFFFFF"/>
          </w:tcPr>
          <w:p w14:paraId="3A596086" w14:textId="1DA13DFB" w:rsidR="00E67733" w:rsidRPr="0012445A" w:rsidRDefault="00134AC2" w:rsidP="0012445A">
            <w:pPr>
              <w:rPr>
                <w:rFonts w:cstheme="minorHAnsi"/>
              </w:rPr>
            </w:pPr>
            <w:r>
              <w:rPr>
                <w:rFonts w:cstheme="minorHAnsi"/>
              </w:rPr>
              <w:t xml:space="preserve">June </w:t>
            </w:r>
            <w:r w:rsidR="00586E03">
              <w:rPr>
                <w:rFonts w:cstheme="minorHAnsi"/>
              </w:rPr>
              <w:t>202</w:t>
            </w:r>
            <w:r w:rsidR="000A4E33">
              <w:rPr>
                <w:rFonts w:cstheme="minorHAnsi"/>
              </w:rPr>
              <w:t>6</w:t>
            </w:r>
          </w:p>
        </w:tc>
      </w:tr>
      <w:tr w:rsidR="00E67733" w:rsidRPr="00E67733" w14:paraId="432DF818" w14:textId="77777777" w:rsidTr="00E67733">
        <w:tc>
          <w:tcPr>
            <w:tcW w:w="8966" w:type="dxa"/>
            <w:gridSpan w:val="2"/>
            <w:tcBorders>
              <w:top w:val="single" w:sz="4" w:space="0" w:color="auto"/>
              <w:left w:val="nil"/>
              <w:bottom w:val="single" w:sz="4" w:space="0" w:color="auto"/>
              <w:right w:val="nil"/>
            </w:tcBorders>
            <w:shd w:val="clear" w:color="auto" w:fill="FFFFFF"/>
          </w:tcPr>
          <w:p w14:paraId="44DF3CD8" w14:textId="7C8203A9" w:rsidR="008B227C" w:rsidRPr="003560C5" w:rsidRDefault="008B227C" w:rsidP="00E67733">
            <w:pPr>
              <w:jc w:val="both"/>
              <w:rPr>
                <w:rFonts w:ascii="Calibri" w:eastAsia="Times New Roman" w:hAnsi="Calibri" w:cs="Arial"/>
                <w:sz w:val="10"/>
                <w:szCs w:val="10"/>
                <w:lang w:val="en-US"/>
              </w:rPr>
            </w:pPr>
          </w:p>
        </w:tc>
      </w:tr>
      <w:tr w:rsidR="00E67733" w:rsidRPr="00E67733" w14:paraId="193FD5BA" w14:textId="77777777" w:rsidTr="00B941B4">
        <w:tc>
          <w:tcPr>
            <w:tcW w:w="8966" w:type="dxa"/>
            <w:gridSpan w:val="2"/>
            <w:tcBorders>
              <w:top w:val="single" w:sz="4" w:space="0" w:color="auto"/>
              <w:left w:val="single" w:sz="4" w:space="0" w:color="auto"/>
              <w:bottom w:val="single" w:sz="4" w:space="0" w:color="auto"/>
              <w:right w:val="single" w:sz="4" w:space="0" w:color="auto"/>
            </w:tcBorders>
            <w:shd w:val="clear" w:color="auto" w:fill="59A9F2" w:themeFill="accent1" w:themeFillTint="99"/>
          </w:tcPr>
          <w:p w14:paraId="55939173" w14:textId="6E4B1DF3" w:rsidR="00E67733" w:rsidRPr="0012445A" w:rsidRDefault="008B227C" w:rsidP="0012445A">
            <w:pPr>
              <w:jc w:val="both"/>
              <w:rPr>
                <w:rFonts w:eastAsia="Times New Roman" w:cstheme="minorHAnsi"/>
                <w:b/>
                <w:lang w:val="en-US"/>
              </w:rPr>
            </w:pPr>
            <w:r>
              <w:rPr>
                <w:rFonts w:eastAsia="Times New Roman" w:cstheme="minorHAnsi"/>
                <w:b/>
                <w:lang w:val="en-US"/>
              </w:rPr>
              <w:t>SEBMAT</w:t>
            </w:r>
          </w:p>
        </w:tc>
      </w:tr>
      <w:tr w:rsidR="00E67733" w:rsidRPr="00550C4B" w14:paraId="5D987B0C" w14:textId="77777777" w:rsidTr="00E67733">
        <w:tc>
          <w:tcPr>
            <w:tcW w:w="8966" w:type="dxa"/>
            <w:gridSpan w:val="2"/>
            <w:tcBorders>
              <w:top w:val="single" w:sz="4" w:space="0" w:color="auto"/>
              <w:left w:val="single" w:sz="4" w:space="0" w:color="auto"/>
              <w:bottom w:val="single" w:sz="4" w:space="0" w:color="auto"/>
              <w:right w:val="single" w:sz="4" w:space="0" w:color="auto"/>
            </w:tcBorders>
            <w:shd w:val="clear" w:color="auto" w:fill="FFFFFF"/>
          </w:tcPr>
          <w:p w14:paraId="40F6F818" w14:textId="75FBA08C" w:rsidR="00E67733" w:rsidRPr="00550C4B" w:rsidRDefault="00155A13" w:rsidP="00550C4B">
            <w:pPr>
              <w:rPr>
                <w:rFonts w:cstheme="minorHAnsi"/>
              </w:rPr>
            </w:pPr>
            <w:r w:rsidRPr="00550C4B">
              <w:rPr>
                <w:rFonts w:cstheme="minorHAnsi"/>
              </w:rPr>
              <w:t xml:space="preserve">The Slough and East Berkshire Multi Academy Trust (‘SEBMAT’) currently has </w:t>
            </w:r>
            <w:r w:rsidR="00B549A5">
              <w:rPr>
                <w:rFonts w:cstheme="minorHAnsi"/>
              </w:rPr>
              <w:t>7</w:t>
            </w:r>
            <w:r w:rsidRPr="00550C4B">
              <w:rPr>
                <w:rFonts w:cstheme="minorHAnsi"/>
              </w:rPr>
              <w:t xml:space="preserve"> schools with </w:t>
            </w:r>
            <w:r w:rsidR="00B549A5">
              <w:rPr>
                <w:rFonts w:cstheme="minorHAnsi"/>
              </w:rPr>
              <w:t>a possibility</w:t>
            </w:r>
            <w:r w:rsidR="008B7865">
              <w:rPr>
                <w:rFonts w:cstheme="minorHAnsi"/>
              </w:rPr>
              <w:t xml:space="preserve"> of further expansion</w:t>
            </w:r>
            <w:r w:rsidRPr="00550C4B">
              <w:rPr>
                <w:rFonts w:cstheme="minorHAnsi"/>
              </w:rPr>
              <w:t xml:space="preserve">.   SEBMAT is </w:t>
            </w:r>
            <w:r w:rsidR="00F04502">
              <w:rPr>
                <w:rFonts w:cstheme="minorHAnsi"/>
              </w:rPr>
              <w:t xml:space="preserve">a </w:t>
            </w:r>
            <w:r w:rsidRPr="00550C4B">
              <w:rPr>
                <w:rFonts w:cstheme="minorHAnsi"/>
              </w:rPr>
              <w:t xml:space="preserve">company limited by guarantee and is an exempt charity that is governed by a Trust Board which is responsible for oversight, management and administration of the Company and the academies therein.  </w:t>
            </w:r>
          </w:p>
        </w:tc>
      </w:tr>
      <w:tr w:rsidR="00E67733" w:rsidRPr="00550C4B" w14:paraId="71A64AC8" w14:textId="77777777" w:rsidTr="00E67733">
        <w:tc>
          <w:tcPr>
            <w:tcW w:w="8966" w:type="dxa"/>
            <w:gridSpan w:val="2"/>
            <w:tcBorders>
              <w:top w:val="single" w:sz="4" w:space="0" w:color="auto"/>
              <w:left w:val="nil"/>
              <w:bottom w:val="single" w:sz="4" w:space="0" w:color="auto"/>
              <w:right w:val="nil"/>
            </w:tcBorders>
            <w:shd w:val="clear" w:color="auto" w:fill="FFFFFF"/>
          </w:tcPr>
          <w:p w14:paraId="3DB55C64" w14:textId="77777777" w:rsidR="00E67733" w:rsidRPr="00703583" w:rsidRDefault="00E67733" w:rsidP="00550C4B">
            <w:pPr>
              <w:jc w:val="both"/>
              <w:rPr>
                <w:rFonts w:cstheme="minorHAnsi"/>
                <w:b/>
                <w:bCs/>
                <w:sz w:val="10"/>
                <w:szCs w:val="10"/>
              </w:rPr>
            </w:pPr>
          </w:p>
        </w:tc>
      </w:tr>
      <w:tr w:rsidR="00E67733" w:rsidRPr="00550C4B" w14:paraId="0EEED124" w14:textId="77777777" w:rsidTr="00B941B4">
        <w:tc>
          <w:tcPr>
            <w:tcW w:w="8966" w:type="dxa"/>
            <w:gridSpan w:val="2"/>
            <w:tcBorders>
              <w:top w:val="single" w:sz="4" w:space="0" w:color="auto"/>
              <w:left w:val="single" w:sz="4" w:space="0" w:color="auto"/>
              <w:bottom w:val="single" w:sz="4" w:space="0" w:color="auto"/>
              <w:right w:val="single" w:sz="4" w:space="0" w:color="auto"/>
            </w:tcBorders>
            <w:shd w:val="clear" w:color="auto" w:fill="59A9F2" w:themeFill="accent1" w:themeFillTint="99"/>
          </w:tcPr>
          <w:p w14:paraId="138FCE6C" w14:textId="0FB81F61" w:rsidR="00E67733" w:rsidRPr="00703583" w:rsidRDefault="008B227C" w:rsidP="00550C4B">
            <w:pPr>
              <w:jc w:val="both"/>
              <w:rPr>
                <w:rFonts w:cstheme="minorHAnsi"/>
                <w:b/>
                <w:bCs/>
              </w:rPr>
            </w:pPr>
            <w:r w:rsidRPr="00703583">
              <w:rPr>
                <w:rFonts w:cstheme="minorHAnsi"/>
                <w:b/>
                <w:bCs/>
              </w:rPr>
              <w:t>Purpose of Role</w:t>
            </w:r>
          </w:p>
        </w:tc>
      </w:tr>
      <w:tr w:rsidR="00E67733" w:rsidRPr="00550C4B" w14:paraId="2C10D3B6" w14:textId="77777777" w:rsidTr="00E67733">
        <w:tc>
          <w:tcPr>
            <w:tcW w:w="8966" w:type="dxa"/>
            <w:gridSpan w:val="2"/>
            <w:tcBorders>
              <w:top w:val="single" w:sz="4" w:space="0" w:color="auto"/>
              <w:left w:val="single" w:sz="4" w:space="0" w:color="auto"/>
              <w:bottom w:val="single" w:sz="4" w:space="0" w:color="auto"/>
              <w:right w:val="single" w:sz="4" w:space="0" w:color="auto"/>
            </w:tcBorders>
            <w:shd w:val="clear" w:color="auto" w:fill="FFFFFF"/>
          </w:tcPr>
          <w:p w14:paraId="2323B62E" w14:textId="1241B5CF" w:rsidR="0012445A" w:rsidRPr="00550C4B" w:rsidRDefault="00892EE6" w:rsidP="009F2847">
            <w:pPr>
              <w:rPr>
                <w:rFonts w:cstheme="minorHAnsi"/>
              </w:rPr>
            </w:pPr>
            <w:r w:rsidRPr="00550C4B">
              <w:rPr>
                <w:rFonts w:cstheme="minorHAnsi"/>
              </w:rPr>
              <w:t xml:space="preserve">The Financial Systems and Reporting </w:t>
            </w:r>
            <w:r w:rsidR="008B7865">
              <w:rPr>
                <w:rFonts w:cstheme="minorHAnsi"/>
              </w:rPr>
              <w:t>Officer</w:t>
            </w:r>
            <w:r w:rsidRPr="00550C4B">
              <w:rPr>
                <w:rFonts w:cstheme="minorHAnsi"/>
              </w:rPr>
              <w:t xml:space="preserve"> (‘FSR</w:t>
            </w:r>
            <w:r w:rsidR="008B7865">
              <w:rPr>
                <w:rFonts w:cstheme="minorHAnsi"/>
              </w:rPr>
              <w:t>O</w:t>
            </w:r>
            <w:r w:rsidRPr="00550C4B">
              <w:rPr>
                <w:rFonts w:cstheme="minorHAnsi"/>
              </w:rPr>
              <w:t xml:space="preserve">’) has delegated responsibility from the Finance Director (‘FD’) to review, improve and maintain the financial systems and processes of the Trust’s overall financial function.   This includes the employment of efficient, effective and economical systems across all the schools and businesses operating under the Trust.  The role is key to achieving improved performance and providing the FD and other stakeholders with accurate and timely information </w:t>
            </w:r>
            <w:r w:rsidR="001B6BA6">
              <w:rPr>
                <w:rFonts w:cstheme="minorHAnsi"/>
              </w:rPr>
              <w:t xml:space="preserve">financial information </w:t>
            </w:r>
            <w:r w:rsidRPr="00550C4B">
              <w:rPr>
                <w:rFonts w:cstheme="minorHAnsi"/>
              </w:rPr>
              <w:t xml:space="preserve">to support good business decision making, particularly against the backdrop of </w:t>
            </w:r>
            <w:r w:rsidR="00907DD9">
              <w:rPr>
                <w:rFonts w:cstheme="minorHAnsi"/>
              </w:rPr>
              <w:t xml:space="preserve">budget </w:t>
            </w:r>
            <w:r w:rsidRPr="00550C4B">
              <w:rPr>
                <w:rFonts w:cstheme="minorHAnsi"/>
              </w:rPr>
              <w:t xml:space="preserve">the further proposed expansion. </w:t>
            </w:r>
          </w:p>
        </w:tc>
      </w:tr>
    </w:tbl>
    <w:p w14:paraId="4C5566C0" w14:textId="77777777" w:rsidR="00D9228C" w:rsidRPr="00550C4B" w:rsidRDefault="00D9228C" w:rsidP="00550C4B">
      <w:pPr>
        <w:spacing w:after="0" w:line="240" w:lineRule="auto"/>
        <w:rPr>
          <w:rFonts w:cstheme="minorHAnsi"/>
          <w:sz w:val="10"/>
          <w:szCs w:val="10"/>
        </w:rPr>
      </w:pPr>
    </w:p>
    <w:tbl>
      <w:tblPr>
        <w:tblStyle w:val="TableGrid"/>
        <w:tblW w:w="0" w:type="auto"/>
        <w:tblLook w:val="04A0" w:firstRow="1" w:lastRow="0" w:firstColumn="1" w:lastColumn="0" w:noHBand="0" w:noVBand="1"/>
      </w:tblPr>
      <w:tblGrid>
        <w:gridCol w:w="9016"/>
      </w:tblGrid>
      <w:tr w:rsidR="008B227C" w:rsidRPr="00550C4B" w14:paraId="79B3BA85" w14:textId="77777777" w:rsidTr="00E1521E">
        <w:tc>
          <w:tcPr>
            <w:tcW w:w="9016" w:type="dxa"/>
            <w:shd w:val="clear" w:color="auto" w:fill="59A9F2" w:themeFill="accent1" w:themeFillTint="99"/>
          </w:tcPr>
          <w:p w14:paraId="2E4A7693" w14:textId="0C6DA2C0" w:rsidR="008B227C" w:rsidRPr="00703583" w:rsidRDefault="008B227C" w:rsidP="00550C4B">
            <w:pPr>
              <w:rPr>
                <w:rFonts w:cstheme="minorHAnsi"/>
                <w:b/>
                <w:bCs/>
              </w:rPr>
            </w:pPr>
            <w:r w:rsidRPr="00703583">
              <w:rPr>
                <w:rFonts w:cstheme="minorHAnsi"/>
                <w:b/>
                <w:bCs/>
              </w:rPr>
              <w:t>Main Accountabilities</w:t>
            </w:r>
          </w:p>
        </w:tc>
      </w:tr>
      <w:tr w:rsidR="008B227C" w:rsidRPr="00550C4B" w14:paraId="5A146B84" w14:textId="77777777" w:rsidTr="008B227C">
        <w:tc>
          <w:tcPr>
            <w:tcW w:w="9016" w:type="dxa"/>
          </w:tcPr>
          <w:p w14:paraId="212B1003" w14:textId="33320A8B" w:rsidR="00CF1486" w:rsidRPr="00550C4B" w:rsidRDefault="00CF1486" w:rsidP="00550C4B">
            <w:pPr>
              <w:pStyle w:val="ListParagraph"/>
              <w:numPr>
                <w:ilvl w:val="0"/>
                <w:numId w:val="22"/>
              </w:numPr>
              <w:ind w:left="360"/>
              <w:rPr>
                <w:rFonts w:asciiTheme="minorHAnsi" w:eastAsiaTheme="minorHAnsi" w:hAnsiTheme="minorHAnsi" w:cstheme="minorHAnsi"/>
                <w:lang w:val="en-GB"/>
              </w:rPr>
            </w:pPr>
            <w:r w:rsidRPr="00550C4B">
              <w:rPr>
                <w:rFonts w:asciiTheme="minorHAnsi" w:eastAsiaTheme="minorHAnsi" w:hAnsiTheme="minorHAnsi" w:cstheme="minorHAnsi"/>
                <w:lang w:val="en-GB"/>
              </w:rPr>
              <w:t>Working with the FD to review and implement strategic change</w:t>
            </w:r>
            <w:r w:rsidR="00603CF8">
              <w:rPr>
                <w:rFonts w:asciiTheme="minorHAnsi" w:eastAsiaTheme="minorHAnsi" w:hAnsiTheme="minorHAnsi" w:cstheme="minorHAnsi"/>
                <w:lang w:val="en-GB"/>
              </w:rPr>
              <w:t>s</w:t>
            </w:r>
            <w:r w:rsidRPr="00550C4B">
              <w:rPr>
                <w:rFonts w:asciiTheme="minorHAnsi" w:eastAsiaTheme="minorHAnsi" w:hAnsiTheme="minorHAnsi" w:cstheme="minorHAnsi"/>
                <w:lang w:val="en-GB"/>
              </w:rPr>
              <w:t xml:space="preserve"> relating to changes in political, environmental, social, technological, legal and environmental </w:t>
            </w:r>
          </w:p>
          <w:p w14:paraId="0C120F85" w14:textId="77777777" w:rsidR="00CF1486" w:rsidRPr="00550C4B" w:rsidRDefault="00CF1486" w:rsidP="00550C4B">
            <w:pPr>
              <w:pStyle w:val="ListParagraph"/>
              <w:numPr>
                <w:ilvl w:val="0"/>
                <w:numId w:val="21"/>
              </w:numPr>
              <w:ind w:left="360"/>
              <w:rPr>
                <w:rFonts w:asciiTheme="minorHAnsi" w:eastAsiaTheme="minorHAnsi" w:hAnsiTheme="minorHAnsi" w:cstheme="minorHAnsi"/>
                <w:lang w:val="en-GB"/>
              </w:rPr>
            </w:pPr>
            <w:r w:rsidRPr="00550C4B">
              <w:rPr>
                <w:rFonts w:asciiTheme="minorHAnsi" w:eastAsiaTheme="minorHAnsi" w:hAnsiTheme="minorHAnsi" w:cstheme="minorHAnsi"/>
                <w:lang w:val="en-GB"/>
              </w:rPr>
              <w:t xml:space="preserve">In conjunction with FD advise on current and future financial issues and projects including feasibility studies, appraisals, preparation of business cases and funding options </w:t>
            </w:r>
          </w:p>
          <w:p w14:paraId="2BEA1F49" w14:textId="1E0FB5FC" w:rsidR="00CF1486" w:rsidRPr="00550C4B" w:rsidRDefault="00CF1486" w:rsidP="00550C4B">
            <w:pPr>
              <w:pStyle w:val="ListParagraph"/>
              <w:numPr>
                <w:ilvl w:val="0"/>
                <w:numId w:val="21"/>
              </w:numPr>
              <w:ind w:left="360"/>
              <w:rPr>
                <w:rFonts w:asciiTheme="minorHAnsi" w:eastAsiaTheme="minorHAnsi" w:hAnsiTheme="minorHAnsi" w:cstheme="minorHAnsi"/>
                <w:lang w:val="en-GB"/>
              </w:rPr>
            </w:pPr>
            <w:r w:rsidRPr="00550C4B">
              <w:rPr>
                <w:rFonts w:asciiTheme="minorHAnsi" w:eastAsiaTheme="minorHAnsi" w:hAnsiTheme="minorHAnsi" w:cstheme="minorHAnsi"/>
                <w:lang w:val="en-GB"/>
              </w:rPr>
              <w:t xml:space="preserve">Ensure that financial policies adopted are in adherence with the requirements of </w:t>
            </w:r>
            <w:proofErr w:type="gramStart"/>
            <w:r w:rsidRPr="00550C4B">
              <w:rPr>
                <w:rFonts w:asciiTheme="minorHAnsi" w:eastAsiaTheme="minorHAnsi" w:hAnsiTheme="minorHAnsi" w:cstheme="minorHAnsi"/>
                <w:lang w:val="en-GB"/>
              </w:rPr>
              <w:t>the ,</w:t>
            </w:r>
            <w:proofErr w:type="gramEnd"/>
            <w:r w:rsidRPr="00550C4B">
              <w:rPr>
                <w:rFonts w:asciiTheme="minorHAnsi" w:eastAsiaTheme="minorHAnsi" w:hAnsiTheme="minorHAnsi" w:cstheme="minorHAnsi"/>
                <w:lang w:val="en-GB"/>
              </w:rPr>
              <w:t xml:space="preserve"> Charities Commission and Companies Law. </w:t>
            </w:r>
          </w:p>
          <w:p w14:paraId="4FBEEF50" w14:textId="2DCD688B" w:rsidR="00CF1486" w:rsidRPr="00550C4B" w:rsidRDefault="00CF1486" w:rsidP="00550C4B">
            <w:pPr>
              <w:pStyle w:val="ListParagraph"/>
              <w:numPr>
                <w:ilvl w:val="0"/>
                <w:numId w:val="21"/>
              </w:numPr>
              <w:ind w:left="360"/>
              <w:rPr>
                <w:rFonts w:asciiTheme="minorHAnsi" w:eastAsiaTheme="minorHAnsi" w:hAnsiTheme="minorHAnsi" w:cstheme="minorHAnsi"/>
                <w:lang w:val="en-GB"/>
              </w:rPr>
            </w:pPr>
            <w:r w:rsidRPr="00550C4B">
              <w:rPr>
                <w:rFonts w:asciiTheme="minorHAnsi" w:eastAsiaTheme="minorHAnsi" w:hAnsiTheme="minorHAnsi" w:cstheme="minorHAnsi"/>
                <w:lang w:val="en-GB"/>
              </w:rPr>
              <w:t xml:space="preserve">To continually review all financial / banking and operational policies and systems within the Trust to ensure they are robust in ensuring that the Academies Trust Handbook requirements as guided by the </w:t>
            </w:r>
            <w:r w:rsidR="00F56541">
              <w:rPr>
                <w:rFonts w:asciiTheme="minorHAnsi" w:eastAsiaTheme="minorHAnsi" w:hAnsiTheme="minorHAnsi" w:cstheme="minorHAnsi"/>
                <w:lang w:val="en-GB"/>
              </w:rPr>
              <w:t xml:space="preserve">Department for </w:t>
            </w:r>
            <w:r w:rsidRPr="00550C4B">
              <w:rPr>
                <w:rFonts w:asciiTheme="minorHAnsi" w:eastAsiaTheme="minorHAnsi" w:hAnsiTheme="minorHAnsi" w:cstheme="minorHAnsi"/>
                <w:lang w:val="en-GB"/>
              </w:rPr>
              <w:t xml:space="preserve">Education are being adhered to </w:t>
            </w:r>
          </w:p>
          <w:p w14:paraId="6AEFA7F3" w14:textId="5AE74F40" w:rsidR="00CF1486" w:rsidRPr="00550C4B" w:rsidRDefault="00CF1486" w:rsidP="00550C4B">
            <w:pPr>
              <w:pStyle w:val="ListParagraph"/>
              <w:numPr>
                <w:ilvl w:val="0"/>
                <w:numId w:val="21"/>
              </w:numPr>
              <w:ind w:left="360"/>
              <w:rPr>
                <w:rFonts w:asciiTheme="minorHAnsi" w:eastAsiaTheme="minorHAnsi" w:hAnsiTheme="minorHAnsi" w:cstheme="minorHAnsi"/>
                <w:lang w:val="en-GB"/>
              </w:rPr>
            </w:pPr>
            <w:r w:rsidRPr="00550C4B">
              <w:rPr>
                <w:rFonts w:asciiTheme="minorHAnsi" w:eastAsiaTheme="minorHAnsi" w:hAnsiTheme="minorHAnsi" w:cstheme="minorHAnsi"/>
                <w:lang w:val="en-GB"/>
              </w:rPr>
              <w:t xml:space="preserve">To review banking approval limits to ensure </w:t>
            </w:r>
            <w:r w:rsidR="003B5F4C">
              <w:rPr>
                <w:rFonts w:asciiTheme="minorHAnsi" w:eastAsiaTheme="minorHAnsi" w:hAnsiTheme="minorHAnsi" w:cstheme="minorHAnsi"/>
                <w:lang w:val="en-GB"/>
              </w:rPr>
              <w:t>the s</w:t>
            </w:r>
            <w:r w:rsidRPr="00550C4B">
              <w:rPr>
                <w:rFonts w:asciiTheme="minorHAnsi" w:eastAsiaTheme="minorHAnsi" w:hAnsiTheme="minorHAnsi" w:cstheme="minorHAnsi"/>
                <w:lang w:val="en-GB"/>
              </w:rPr>
              <w:t>ystem is in place</w:t>
            </w:r>
            <w:r w:rsidR="00C72C67">
              <w:rPr>
                <w:rFonts w:asciiTheme="minorHAnsi" w:eastAsiaTheme="minorHAnsi" w:hAnsiTheme="minorHAnsi" w:cstheme="minorHAnsi"/>
                <w:lang w:val="en-GB"/>
              </w:rPr>
              <w:t xml:space="preserve"> and being adhered to</w:t>
            </w:r>
            <w:r w:rsidRPr="00550C4B">
              <w:rPr>
                <w:rFonts w:asciiTheme="minorHAnsi" w:eastAsiaTheme="minorHAnsi" w:hAnsiTheme="minorHAnsi" w:cstheme="minorHAnsi"/>
                <w:lang w:val="en-GB"/>
              </w:rPr>
              <w:t xml:space="preserve"> as per financial policies </w:t>
            </w:r>
          </w:p>
          <w:p w14:paraId="5C801CF1" w14:textId="77777777" w:rsidR="00C72C67" w:rsidRDefault="00CF1486" w:rsidP="00550C4B">
            <w:pPr>
              <w:pStyle w:val="ListParagraph"/>
              <w:numPr>
                <w:ilvl w:val="0"/>
                <w:numId w:val="21"/>
              </w:numPr>
              <w:ind w:left="360"/>
              <w:rPr>
                <w:rFonts w:asciiTheme="minorHAnsi" w:eastAsiaTheme="minorHAnsi" w:hAnsiTheme="minorHAnsi" w:cstheme="minorHAnsi"/>
                <w:lang w:val="en-GB"/>
              </w:rPr>
            </w:pPr>
            <w:r w:rsidRPr="00550C4B">
              <w:rPr>
                <w:rFonts w:asciiTheme="minorHAnsi" w:eastAsiaTheme="minorHAnsi" w:hAnsiTheme="minorHAnsi" w:cstheme="minorHAnsi"/>
                <w:lang w:val="en-GB"/>
              </w:rPr>
              <w:t xml:space="preserve">Ensure that the finance function offers a high quality and accessible service which is efficient, accurate, complete and in a courteous manner. </w:t>
            </w:r>
          </w:p>
          <w:p w14:paraId="070B17F5" w14:textId="2EF71975" w:rsidR="00CF1486" w:rsidRPr="00550C4B" w:rsidRDefault="00C110D4" w:rsidP="00550C4B">
            <w:pPr>
              <w:pStyle w:val="ListParagraph"/>
              <w:numPr>
                <w:ilvl w:val="0"/>
                <w:numId w:val="21"/>
              </w:numPr>
              <w:ind w:left="360"/>
              <w:rPr>
                <w:rFonts w:asciiTheme="minorHAnsi" w:eastAsiaTheme="minorHAnsi" w:hAnsiTheme="minorHAnsi" w:cstheme="minorHAnsi"/>
                <w:lang w:val="en-GB"/>
              </w:rPr>
            </w:pPr>
            <w:r>
              <w:rPr>
                <w:rFonts w:asciiTheme="minorHAnsi" w:eastAsiaTheme="minorHAnsi" w:hAnsiTheme="minorHAnsi" w:cstheme="minorHAnsi"/>
                <w:lang w:val="en-GB"/>
              </w:rPr>
              <w:t>L</w:t>
            </w:r>
            <w:r w:rsidR="00C72C67">
              <w:rPr>
                <w:rFonts w:asciiTheme="minorHAnsi" w:eastAsiaTheme="minorHAnsi" w:hAnsiTheme="minorHAnsi" w:cstheme="minorHAnsi"/>
                <w:lang w:val="en-GB"/>
              </w:rPr>
              <w:t xml:space="preserve">ead on </w:t>
            </w:r>
            <w:r w:rsidR="002D795B">
              <w:rPr>
                <w:rFonts w:asciiTheme="minorHAnsi" w:eastAsiaTheme="minorHAnsi" w:hAnsiTheme="minorHAnsi" w:cstheme="minorHAnsi"/>
                <w:lang w:val="en-GB"/>
              </w:rPr>
              <w:t xml:space="preserve">implementation of </w:t>
            </w:r>
            <w:r w:rsidR="00CF1486" w:rsidRPr="00550C4B">
              <w:rPr>
                <w:rFonts w:asciiTheme="minorHAnsi" w:eastAsiaTheme="minorHAnsi" w:hAnsiTheme="minorHAnsi" w:cstheme="minorHAnsi"/>
                <w:lang w:val="en-GB"/>
              </w:rPr>
              <w:t>new financial systems to improve core functions</w:t>
            </w:r>
          </w:p>
          <w:p w14:paraId="4FA2BD16" w14:textId="77777777" w:rsidR="00CF1486" w:rsidRDefault="00CF1486" w:rsidP="00550C4B">
            <w:pPr>
              <w:pStyle w:val="ListParagraph"/>
              <w:numPr>
                <w:ilvl w:val="0"/>
                <w:numId w:val="21"/>
              </w:numPr>
              <w:ind w:left="360"/>
              <w:rPr>
                <w:rFonts w:asciiTheme="minorHAnsi" w:eastAsiaTheme="minorHAnsi" w:hAnsiTheme="minorHAnsi" w:cstheme="minorHAnsi"/>
                <w:lang w:val="en-GB"/>
              </w:rPr>
            </w:pPr>
            <w:r w:rsidRPr="00550C4B">
              <w:rPr>
                <w:rFonts w:asciiTheme="minorHAnsi" w:eastAsiaTheme="minorHAnsi" w:hAnsiTheme="minorHAnsi" w:cstheme="minorHAnsi"/>
                <w:lang w:val="en-GB"/>
              </w:rPr>
              <w:t>To provide the FD with appropriate financial information and assistance to support the decision-making process</w:t>
            </w:r>
          </w:p>
          <w:p w14:paraId="5AE319A0" w14:textId="6083919A" w:rsidR="006E0692" w:rsidRDefault="00C110D4" w:rsidP="00550C4B">
            <w:pPr>
              <w:pStyle w:val="ListParagraph"/>
              <w:numPr>
                <w:ilvl w:val="0"/>
                <w:numId w:val="21"/>
              </w:numPr>
              <w:ind w:left="360"/>
              <w:rPr>
                <w:rFonts w:asciiTheme="minorHAnsi" w:eastAsiaTheme="minorHAnsi" w:hAnsiTheme="minorHAnsi" w:cstheme="minorHAnsi"/>
                <w:lang w:val="en-GB"/>
              </w:rPr>
            </w:pPr>
            <w:r>
              <w:rPr>
                <w:rFonts w:asciiTheme="minorHAnsi" w:eastAsiaTheme="minorHAnsi" w:hAnsiTheme="minorHAnsi" w:cstheme="minorHAnsi"/>
                <w:lang w:val="en-GB"/>
              </w:rPr>
              <w:t xml:space="preserve">To keep budget planning systems updated and </w:t>
            </w:r>
            <w:r w:rsidR="006E0692">
              <w:rPr>
                <w:rFonts w:asciiTheme="minorHAnsi" w:eastAsiaTheme="minorHAnsi" w:hAnsiTheme="minorHAnsi" w:cstheme="minorHAnsi"/>
                <w:lang w:val="en-GB"/>
              </w:rPr>
              <w:t xml:space="preserve">ensuring </w:t>
            </w:r>
            <w:r w:rsidR="0089029C">
              <w:rPr>
                <w:rFonts w:asciiTheme="minorHAnsi" w:eastAsiaTheme="minorHAnsi" w:hAnsiTheme="minorHAnsi" w:cstheme="minorHAnsi"/>
                <w:lang w:val="en-GB"/>
              </w:rPr>
              <w:t xml:space="preserve">budgets on </w:t>
            </w:r>
            <w:proofErr w:type="gramStart"/>
            <w:r w:rsidR="0089029C">
              <w:rPr>
                <w:rFonts w:asciiTheme="minorHAnsi" w:eastAsiaTheme="minorHAnsi" w:hAnsiTheme="minorHAnsi" w:cstheme="minorHAnsi"/>
                <w:lang w:val="en-GB"/>
              </w:rPr>
              <w:t>schools</w:t>
            </w:r>
            <w:proofErr w:type="gramEnd"/>
            <w:r w:rsidR="0089029C">
              <w:rPr>
                <w:rFonts w:asciiTheme="minorHAnsi" w:eastAsiaTheme="minorHAnsi" w:hAnsiTheme="minorHAnsi" w:cstheme="minorHAnsi"/>
                <w:lang w:val="en-GB"/>
              </w:rPr>
              <w:t xml:space="preserve"> finance systems </w:t>
            </w:r>
            <w:r w:rsidR="00406574">
              <w:rPr>
                <w:rFonts w:asciiTheme="minorHAnsi" w:eastAsiaTheme="minorHAnsi" w:hAnsiTheme="minorHAnsi" w:cstheme="minorHAnsi"/>
                <w:lang w:val="en-GB"/>
              </w:rPr>
              <w:t>are approved by Trustees</w:t>
            </w:r>
          </w:p>
          <w:p w14:paraId="7EF75AAB" w14:textId="555AF09B" w:rsidR="00E23945" w:rsidRPr="00550C4B" w:rsidRDefault="006E0692" w:rsidP="00550C4B">
            <w:pPr>
              <w:pStyle w:val="ListParagraph"/>
              <w:numPr>
                <w:ilvl w:val="0"/>
                <w:numId w:val="21"/>
              </w:numPr>
              <w:ind w:left="360"/>
              <w:rPr>
                <w:rFonts w:asciiTheme="minorHAnsi" w:eastAsiaTheme="minorHAnsi" w:hAnsiTheme="minorHAnsi" w:cstheme="minorHAnsi"/>
                <w:lang w:val="en-GB"/>
              </w:rPr>
            </w:pPr>
            <w:r>
              <w:rPr>
                <w:rFonts w:asciiTheme="minorHAnsi" w:eastAsiaTheme="minorHAnsi" w:hAnsiTheme="minorHAnsi" w:cstheme="minorHAnsi"/>
                <w:lang w:val="en-GB"/>
              </w:rPr>
              <w:t>T</w:t>
            </w:r>
            <w:r w:rsidR="00E23945">
              <w:rPr>
                <w:rFonts w:asciiTheme="minorHAnsi" w:eastAsiaTheme="minorHAnsi" w:hAnsiTheme="minorHAnsi" w:cstheme="minorHAnsi"/>
                <w:lang w:val="en-GB"/>
              </w:rPr>
              <w:t>o prepare monthly management account</w:t>
            </w:r>
            <w:r w:rsidR="00C110D4">
              <w:rPr>
                <w:rFonts w:asciiTheme="minorHAnsi" w:eastAsiaTheme="minorHAnsi" w:hAnsiTheme="minorHAnsi" w:cstheme="minorHAnsi"/>
                <w:lang w:val="en-GB"/>
              </w:rPr>
              <w:t>ing</w:t>
            </w:r>
            <w:r w:rsidR="005D77A3">
              <w:rPr>
                <w:rFonts w:asciiTheme="minorHAnsi" w:eastAsiaTheme="minorHAnsi" w:hAnsiTheme="minorHAnsi" w:cstheme="minorHAnsi"/>
                <w:lang w:val="en-GB"/>
              </w:rPr>
              <w:t xml:space="preserve"> reports with accuracy </w:t>
            </w:r>
            <w:r w:rsidR="0026750D">
              <w:rPr>
                <w:rFonts w:asciiTheme="minorHAnsi" w:eastAsiaTheme="minorHAnsi" w:hAnsiTheme="minorHAnsi" w:cstheme="minorHAnsi"/>
                <w:lang w:val="en-GB"/>
              </w:rPr>
              <w:t>using IMP budget planning tool</w:t>
            </w:r>
          </w:p>
          <w:p w14:paraId="076415B3" w14:textId="0E319918" w:rsidR="00CF1486" w:rsidRPr="00550C4B" w:rsidRDefault="0026750D" w:rsidP="00550C4B">
            <w:pPr>
              <w:pStyle w:val="ListParagraph"/>
              <w:numPr>
                <w:ilvl w:val="0"/>
                <w:numId w:val="21"/>
              </w:numPr>
              <w:ind w:left="360"/>
              <w:rPr>
                <w:rFonts w:asciiTheme="minorHAnsi" w:eastAsiaTheme="minorHAnsi" w:hAnsiTheme="minorHAnsi" w:cstheme="minorHAnsi"/>
                <w:lang w:val="en-GB"/>
              </w:rPr>
            </w:pPr>
            <w:r>
              <w:rPr>
                <w:rFonts w:asciiTheme="minorHAnsi" w:eastAsiaTheme="minorHAnsi" w:hAnsiTheme="minorHAnsi" w:cstheme="minorHAnsi"/>
                <w:lang w:val="en-GB"/>
              </w:rPr>
              <w:t>There may be a requirement</w:t>
            </w:r>
            <w:r w:rsidR="00B35235">
              <w:rPr>
                <w:rFonts w:asciiTheme="minorHAnsi" w:eastAsiaTheme="minorHAnsi" w:hAnsiTheme="minorHAnsi" w:cstheme="minorHAnsi"/>
                <w:lang w:val="en-GB"/>
              </w:rPr>
              <w:t xml:space="preserve"> to </w:t>
            </w:r>
            <w:r w:rsidR="00CF1486" w:rsidRPr="00550C4B">
              <w:rPr>
                <w:rFonts w:asciiTheme="minorHAnsi" w:eastAsiaTheme="minorHAnsi" w:hAnsiTheme="minorHAnsi" w:cstheme="minorHAnsi"/>
                <w:lang w:val="en-GB"/>
              </w:rPr>
              <w:t>attend meetings where information gathered on systems and processes may have to be presented</w:t>
            </w:r>
          </w:p>
          <w:p w14:paraId="25A1184B" w14:textId="2E3FC44A" w:rsidR="00CF1486" w:rsidRDefault="00CF1486" w:rsidP="00550C4B">
            <w:pPr>
              <w:pStyle w:val="ListParagraph"/>
              <w:numPr>
                <w:ilvl w:val="0"/>
                <w:numId w:val="21"/>
              </w:numPr>
              <w:ind w:left="354" w:hanging="357"/>
              <w:rPr>
                <w:rFonts w:asciiTheme="minorHAnsi" w:eastAsiaTheme="minorHAnsi" w:hAnsiTheme="minorHAnsi" w:cstheme="minorHAnsi"/>
                <w:lang w:val="en-GB"/>
              </w:rPr>
            </w:pPr>
            <w:r w:rsidRPr="00550C4B">
              <w:rPr>
                <w:rFonts w:asciiTheme="minorHAnsi" w:eastAsiaTheme="minorHAnsi" w:hAnsiTheme="minorHAnsi" w:cstheme="minorHAnsi"/>
                <w:lang w:val="en-GB"/>
              </w:rPr>
              <w:lastRenderedPageBreak/>
              <w:t xml:space="preserve">Ensure that the </w:t>
            </w:r>
            <w:r w:rsidR="00FE5211">
              <w:rPr>
                <w:rFonts w:asciiTheme="minorHAnsi" w:eastAsiaTheme="minorHAnsi" w:hAnsiTheme="minorHAnsi" w:cstheme="minorHAnsi"/>
                <w:lang w:val="en-GB"/>
              </w:rPr>
              <w:t>DFE</w:t>
            </w:r>
            <w:r w:rsidRPr="00550C4B">
              <w:rPr>
                <w:rFonts w:asciiTheme="minorHAnsi" w:eastAsiaTheme="minorHAnsi" w:hAnsiTheme="minorHAnsi" w:cstheme="minorHAnsi"/>
                <w:lang w:val="en-GB"/>
              </w:rPr>
              <w:t xml:space="preserve"> chart of accounts are being implemented in all schools </w:t>
            </w:r>
            <w:r w:rsidR="00FE5211">
              <w:rPr>
                <w:rFonts w:asciiTheme="minorHAnsi" w:eastAsiaTheme="minorHAnsi" w:hAnsiTheme="minorHAnsi" w:cstheme="minorHAnsi"/>
                <w:lang w:val="en-GB"/>
              </w:rPr>
              <w:t>on budgets and financial systems</w:t>
            </w:r>
          </w:p>
          <w:p w14:paraId="5249917D" w14:textId="5D2FE5F4" w:rsidR="00B108D8" w:rsidRDefault="00B108D8" w:rsidP="00550C4B">
            <w:pPr>
              <w:pStyle w:val="ListParagraph"/>
              <w:numPr>
                <w:ilvl w:val="0"/>
                <w:numId w:val="21"/>
              </w:numPr>
              <w:ind w:left="354" w:hanging="357"/>
              <w:rPr>
                <w:rFonts w:asciiTheme="minorHAnsi" w:eastAsiaTheme="minorHAnsi" w:hAnsiTheme="minorHAnsi" w:cstheme="minorHAnsi"/>
                <w:lang w:val="en-GB"/>
              </w:rPr>
            </w:pPr>
            <w:r>
              <w:rPr>
                <w:rFonts w:asciiTheme="minorHAnsi" w:eastAsiaTheme="minorHAnsi" w:hAnsiTheme="minorHAnsi" w:cstheme="minorHAnsi"/>
                <w:lang w:val="en-GB"/>
              </w:rPr>
              <w:t>To l</w:t>
            </w:r>
            <w:r w:rsidR="007074AD">
              <w:rPr>
                <w:rFonts w:asciiTheme="minorHAnsi" w:eastAsiaTheme="minorHAnsi" w:hAnsiTheme="minorHAnsi" w:cstheme="minorHAnsi"/>
                <w:lang w:val="en-GB"/>
              </w:rPr>
              <w:t>iaise with schools on overspends/underspends</w:t>
            </w:r>
            <w:r w:rsidR="00FE5DA3">
              <w:rPr>
                <w:rFonts w:asciiTheme="minorHAnsi" w:eastAsiaTheme="minorHAnsi" w:hAnsiTheme="minorHAnsi" w:cstheme="minorHAnsi"/>
                <w:lang w:val="en-GB"/>
              </w:rPr>
              <w:t>/latest estimates of spending to update forecast</w:t>
            </w:r>
          </w:p>
          <w:p w14:paraId="3242A35C" w14:textId="213DFE48" w:rsidR="00D63485" w:rsidRPr="00550C4B" w:rsidRDefault="00D63485" w:rsidP="00550C4B">
            <w:pPr>
              <w:pStyle w:val="ListParagraph"/>
              <w:numPr>
                <w:ilvl w:val="0"/>
                <w:numId w:val="21"/>
              </w:numPr>
              <w:ind w:left="354" w:hanging="357"/>
              <w:rPr>
                <w:rFonts w:asciiTheme="minorHAnsi" w:eastAsiaTheme="minorHAnsi" w:hAnsiTheme="minorHAnsi" w:cstheme="minorHAnsi"/>
                <w:lang w:val="en-GB"/>
              </w:rPr>
            </w:pPr>
            <w:r>
              <w:rPr>
                <w:rFonts w:asciiTheme="minorHAnsi" w:eastAsiaTheme="minorHAnsi" w:hAnsiTheme="minorHAnsi" w:cstheme="minorHAnsi"/>
                <w:lang w:val="en-GB"/>
              </w:rPr>
              <w:t>To be able to deputise for Finance Manager during</w:t>
            </w:r>
            <w:r w:rsidR="00B77297">
              <w:rPr>
                <w:rFonts w:asciiTheme="minorHAnsi" w:eastAsiaTheme="minorHAnsi" w:hAnsiTheme="minorHAnsi" w:cstheme="minorHAnsi"/>
                <w:lang w:val="en-GB"/>
              </w:rPr>
              <w:t xml:space="preserve"> leave/absence</w:t>
            </w:r>
          </w:p>
          <w:p w14:paraId="302DCBCA" w14:textId="45480EC6" w:rsidR="00CF1486" w:rsidRPr="00550C4B" w:rsidRDefault="00CF1486" w:rsidP="00550C4B">
            <w:pPr>
              <w:pStyle w:val="ListParagraph"/>
              <w:numPr>
                <w:ilvl w:val="0"/>
                <w:numId w:val="21"/>
              </w:numPr>
              <w:ind w:left="354" w:hanging="357"/>
              <w:rPr>
                <w:rFonts w:asciiTheme="minorHAnsi" w:eastAsiaTheme="minorHAnsi" w:hAnsiTheme="minorHAnsi" w:cstheme="minorHAnsi"/>
                <w:lang w:val="en-GB"/>
              </w:rPr>
            </w:pPr>
            <w:r w:rsidRPr="00550C4B">
              <w:rPr>
                <w:rFonts w:asciiTheme="minorHAnsi" w:eastAsiaTheme="minorHAnsi" w:hAnsiTheme="minorHAnsi" w:cstheme="minorHAnsi"/>
                <w:lang w:val="en-GB"/>
              </w:rPr>
              <w:t xml:space="preserve">To </w:t>
            </w:r>
            <w:r w:rsidR="00B108D8">
              <w:rPr>
                <w:rFonts w:asciiTheme="minorHAnsi" w:eastAsiaTheme="minorHAnsi" w:hAnsiTheme="minorHAnsi" w:cstheme="minorHAnsi"/>
                <w:lang w:val="en-GB"/>
              </w:rPr>
              <w:t>assist</w:t>
            </w:r>
            <w:r w:rsidRPr="00550C4B">
              <w:rPr>
                <w:rFonts w:asciiTheme="minorHAnsi" w:eastAsiaTheme="minorHAnsi" w:hAnsiTheme="minorHAnsi" w:cstheme="minorHAnsi"/>
                <w:lang w:val="en-GB"/>
              </w:rPr>
              <w:t xml:space="preserve"> on compilation of Trustees’ report for yearend audit and to ensure that the interim and year end audit process is conducted effectively and efficiently</w:t>
            </w:r>
          </w:p>
          <w:p w14:paraId="67EFD65A" w14:textId="77777777" w:rsidR="00CF1486" w:rsidRPr="00550C4B" w:rsidRDefault="00CF1486" w:rsidP="00550C4B">
            <w:pPr>
              <w:pStyle w:val="ListParagraph"/>
              <w:numPr>
                <w:ilvl w:val="0"/>
                <w:numId w:val="21"/>
              </w:numPr>
              <w:ind w:left="354" w:hanging="357"/>
              <w:rPr>
                <w:rFonts w:asciiTheme="minorHAnsi" w:eastAsiaTheme="minorHAnsi" w:hAnsiTheme="minorHAnsi" w:cstheme="minorHAnsi"/>
                <w:lang w:val="en-GB"/>
              </w:rPr>
            </w:pPr>
            <w:r w:rsidRPr="00550C4B">
              <w:rPr>
                <w:rFonts w:asciiTheme="minorHAnsi" w:eastAsiaTheme="minorHAnsi" w:hAnsiTheme="minorHAnsi" w:cstheme="minorHAnsi"/>
                <w:lang w:val="en-GB"/>
              </w:rPr>
              <w:t xml:space="preserve">To be able to work at any school or business of the Trust as the need arises </w:t>
            </w:r>
          </w:p>
          <w:p w14:paraId="76FF2FF4" w14:textId="77777777" w:rsidR="00CF1486" w:rsidRPr="00550C4B" w:rsidRDefault="00CF1486" w:rsidP="00550C4B">
            <w:pPr>
              <w:pStyle w:val="ListParagraph"/>
              <w:numPr>
                <w:ilvl w:val="0"/>
                <w:numId w:val="21"/>
              </w:numPr>
              <w:ind w:left="354" w:hanging="357"/>
              <w:rPr>
                <w:rFonts w:asciiTheme="minorHAnsi" w:eastAsiaTheme="minorHAnsi" w:hAnsiTheme="minorHAnsi" w:cstheme="minorHAnsi"/>
                <w:lang w:val="en-GB"/>
              </w:rPr>
            </w:pPr>
            <w:r w:rsidRPr="00550C4B">
              <w:rPr>
                <w:rFonts w:asciiTheme="minorHAnsi" w:eastAsiaTheme="minorHAnsi" w:hAnsiTheme="minorHAnsi" w:cstheme="minorHAnsi"/>
                <w:lang w:val="en-GB"/>
              </w:rPr>
              <w:t xml:space="preserve">To assist the FD to maintain an effective system of recording fixed assets and maintaining it to enable accurate reporting </w:t>
            </w:r>
          </w:p>
          <w:p w14:paraId="36DFAE1C" w14:textId="77777777" w:rsidR="00CF1486" w:rsidRPr="00550C4B" w:rsidRDefault="00CF1486" w:rsidP="00550C4B">
            <w:pPr>
              <w:pStyle w:val="ListParagraph"/>
              <w:numPr>
                <w:ilvl w:val="0"/>
                <w:numId w:val="21"/>
              </w:numPr>
              <w:ind w:left="354" w:hanging="357"/>
              <w:rPr>
                <w:rFonts w:asciiTheme="minorHAnsi" w:eastAsiaTheme="minorHAnsi" w:hAnsiTheme="minorHAnsi" w:cstheme="minorHAnsi"/>
                <w:lang w:val="en-GB"/>
              </w:rPr>
            </w:pPr>
            <w:r w:rsidRPr="00550C4B">
              <w:rPr>
                <w:rFonts w:asciiTheme="minorHAnsi" w:eastAsiaTheme="minorHAnsi" w:hAnsiTheme="minorHAnsi" w:cstheme="minorHAnsi"/>
                <w:lang w:val="en-GB"/>
              </w:rPr>
              <w:t xml:space="preserve">To assist the FD to maintain an effective system of recording all contracts and direct debits within the Trust </w:t>
            </w:r>
          </w:p>
          <w:p w14:paraId="3E27356C" w14:textId="77777777" w:rsidR="00CF1486" w:rsidRPr="00550C4B" w:rsidRDefault="00CF1486" w:rsidP="00550C4B">
            <w:pPr>
              <w:pStyle w:val="ListParagraph"/>
              <w:numPr>
                <w:ilvl w:val="0"/>
                <w:numId w:val="21"/>
              </w:numPr>
              <w:ind w:left="354" w:hanging="357"/>
              <w:rPr>
                <w:rFonts w:asciiTheme="minorHAnsi" w:eastAsiaTheme="minorHAnsi" w:hAnsiTheme="minorHAnsi" w:cstheme="minorHAnsi"/>
                <w:lang w:val="en-GB"/>
              </w:rPr>
            </w:pPr>
            <w:r w:rsidRPr="00550C4B">
              <w:rPr>
                <w:rFonts w:asciiTheme="minorHAnsi" w:eastAsiaTheme="minorHAnsi" w:hAnsiTheme="minorHAnsi" w:cstheme="minorHAnsi"/>
                <w:lang w:val="en-GB"/>
              </w:rPr>
              <w:t xml:space="preserve">To lead on the set up of financial and banking systems of any new academies joining The Trust </w:t>
            </w:r>
          </w:p>
          <w:p w14:paraId="0139547E" w14:textId="77777777" w:rsidR="00CF1486" w:rsidRPr="00550C4B" w:rsidRDefault="00CF1486" w:rsidP="00550C4B">
            <w:pPr>
              <w:pStyle w:val="ListParagraph"/>
              <w:numPr>
                <w:ilvl w:val="0"/>
                <w:numId w:val="21"/>
              </w:numPr>
              <w:ind w:left="354" w:hanging="357"/>
              <w:rPr>
                <w:rFonts w:asciiTheme="minorHAnsi" w:eastAsiaTheme="minorHAnsi" w:hAnsiTheme="minorHAnsi" w:cstheme="minorHAnsi"/>
                <w:lang w:val="en-GB"/>
              </w:rPr>
            </w:pPr>
            <w:r w:rsidRPr="00550C4B">
              <w:rPr>
                <w:rFonts w:asciiTheme="minorHAnsi" w:eastAsiaTheme="minorHAnsi" w:hAnsiTheme="minorHAnsi" w:cstheme="minorHAnsi"/>
                <w:lang w:val="en-GB"/>
              </w:rPr>
              <w:t>To be responsible for delivery of training to core and school staff when implementing new systems or introducing new policies</w:t>
            </w:r>
          </w:p>
          <w:p w14:paraId="0F6B1A9A" w14:textId="3275A055" w:rsidR="00CF1486" w:rsidRPr="00550C4B" w:rsidRDefault="00CF1486" w:rsidP="00550C4B">
            <w:pPr>
              <w:pStyle w:val="ListParagraph"/>
              <w:numPr>
                <w:ilvl w:val="0"/>
                <w:numId w:val="21"/>
              </w:numPr>
              <w:ind w:left="354" w:hanging="357"/>
              <w:rPr>
                <w:rFonts w:asciiTheme="minorHAnsi" w:eastAsiaTheme="minorHAnsi" w:hAnsiTheme="minorHAnsi" w:cstheme="minorHAnsi"/>
                <w:lang w:val="en-GB"/>
              </w:rPr>
            </w:pPr>
            <w:r w:rsidRPr="00550C4B">
              <w:rPr>
                <w:rFonts w:asciiTheme="minorHAnsi" w:eastAsiaTheme="minorHAnsi" w:hAnsiTheme="minorHAnsi" w:cstheme="minorHAnsi"/>
                <w:lang w:val="en-GB"/>
              </w:rPr>
              <w:t xml:space="preserve">To </w:t>
            </w:r>
            <w:r w:rsidR="00B77297">
              <w:rPr>
                <w:rFonts w:asciiTheme="minorHAnsi" w:eastAsiaTheme="minorHAnsi" w:hAnsiTheme="minorHAnsi" w:cstheme="minorHAnsi"/>
                <w:lang w:val="en-GB"/>
              </w:rPr>
              <w:t>take</w:t>
            </w:r>
            <w:r w:rsidRPr="00550C4B">
              <w:rPr>
                <w:rFonts w:asciiTheme="minorHAnsi" w:eastAsiaTheme="minorHAnsi" w:hAnsiTheme="minorHAnsi" w:cstheme="minorHAnsi"/>
                <w:lang w:val="en-GB"/>
              </w:rPr>
              <w:t xml:space="preserve"> part </w:t>
            </w:r>
            <w:r w:rsidR="00461AA1">
              <w:rPr>
                <w:rFonts w:asciiTheme="minorHAnsi" w:eastAsiaTheme="minorHAnsi" w:hAnsiTheme="minorHAnsi" w:cstheme="minorHAnsi"/>
                <w:lang w:val="en-GB"/>
              </w:rPr>
              <w:t>in</w:t>
            </w:r>
            <w:r w:rsidRPr="00550C4B">
              <w:rPr>
                <w:rFonts w:asciiTheme="minorHAnsi" w:eastAsiaTheme="minorHAnsi" w:hAnsiTheme="minorHAnsi" w:cstheme="minorHAnsi"/>
                <w:lang w:val="en-GB"/>
              </w:rPr>
              <w:t xml:space="preserve"> the </w:t>
            </w:r>
            <w:r w:rsidR="008C5579" w:rsidRPr="00550C4B">
              <w:rPr>
                <w:rFonts w:asciiTheme="minorHAnsi" w:eastAsiaTheme="minorHAnsi" w:hAnsiTheme="minorHAnsi" w:cstheme="minorHAnsi"/>
                <w:lang w:val="en-GB"/>
              </w:rPr>
              <w:t>team</w:t>
            </w:r>
            <w:r w:rsidR="008C5579">
              <w:rPr>
                <w:rFonts w:asciiTheme="minorHAnsi" w:eastAsiaTheme="minorHAnsi" w:hAnsiTheme="minorHAnsi" w:cstheme="minorHAnsi"/>
                <w:lang w:val="en-GB"/>
              </w:rPr>
              <w:t xml:space="preserve"> discussions and implement </w:t>
            </w:r>
            <w:r w:rsidR="00945566">
              <w:rPr>
                <w:rFonts w:asciiTheme="minorHAnsi" w:eastAsiaTheme="minorHAnsi" w:hAnsiTheme="minorHAnsi" w:cstheme="minorHAnsi"/>
                <w:lang w:val="en-GB"/>
              </w:rPr>
              <w:t>change</w:t>
            </w:r>
            <w:r w:rsidR="004F0584">
              <w:rPr>
                <w:rFonts w:asciiTheme="minorHAnsi" w:eastAsiaTheme="minorHAnsi" w:hAnsiTheme="minorHAnsi" w:cstheme="minorHAnsi"/>
                <w:lang w:val="en-GB"/>
              </w:rPr>
              <w:t xml:space="preserve"> to procedure/systems</w:t>
            </w:r>
            <w:r w:rsidRPr="00550C4B">
              <w:rPr>
                <w:rFonts w:asciiTheme="minorHAnsi" w:eastAsiaTheme="minorHAnsi" w:hAnsiTheme="minorHAnsi" w:cstheme="minorHAnsi"/>
                <w:lang w:val="en-GB"/>
              </w:rPr>
              <w:t xml:space="preserve"> to </w:t>
            </w:r>
            <w:proofErr w:type="gramStart"/>
            <w:r w:rsidRPr="00550C4B">
              <w:rPr>
                <w:rFonts w:asciiTheme="minorHAnsi" w:eastAsiaTheme="minorHAnsi" w:hAnsiTheme="minorHAnsi" w:cstheme="minorHAnsi"/>
                <w:lang w:val="en-GB"/>
              </w:rPr>
              <w:t>effect</w:t>
            </w:r>
            <w:proofErr w:type="gramEnd"/>
            <w:r w:rsidRPr="00550C4B">
              <w:rPr>
                <w:rFonts w:asciiTheme="minorHAnsi" w:eastAsiaTheme="minorHAnsi" w:hAnsiTheme="minorHAnsi" w:cstheme="minorHAnsi"/>
                <w:lang w:val="en-GB"/>
              </w:rPr>
              <w:t xml:space="preserve"> any improvements</w:t>
            </w:r>
          </w:p>
          <w:p w14:paraId="1AE83B99" w14:textId="77777777" w:rsidR="00CF1486" w:rsidRPr="00550C4B" w:rsidRDefault="00CF1486" w:rsidP="00550C4B">
            <w:pPr>
              <w:pStyle w:val="ListParagraph"/>
              <w:numPr>
                <w:ilvl w:val="0"/>
                <w:numId w:val="21"/>
              </w:numPr>
              <w:ind w:left="354" w:hanging="357"/>
              <w:rPr>
                <w:rFonts w:asciiTheme="minorHAnsi" w:eastAsiaTheme="minorHAnsi" w:hAnsiTheme="minorHAnsi" w:cstheme="minorHAnsi"/>
                <w:lang w:val="en-GB"/>
              </w:rPr>
            </w:pPr>
            <w:r w:rsidRPr="00550C4B">
              <w:rPr>
                <w:rFonts w:asciiTheme="minorHAnsi" w:eastAsiaTheme="minorHAnsi" w:hAnsiTheme="minorHAnsi" w:cstheme="minorHAnsi"/>
                <w:lang w:val="en-GB"/>
              </w:rPr>
              <w:t>To assist wherever required within the Finance Team of the Trust, be it at the Core or a School</w:t>
            </w:r>
          </w:p>
          <w:p w14:paraId="7F076757" w14:textId="0E4C9190" w:rsidR="008B227C" w:rsidRPr="00550C4B" w:rsidRDefault="00CF1486" w:rsidP="00550C4B">
            <w:pPr>
              <w:pStyle w:val="ListParagraph"/>
              <w:numPr>
                <w:ilvl w:val="0"/>
                <w:numId w:val="21"/>
              </w:numPr>
              <w:ind w:left="354" w:hanging="357"/>
              <w:rPr>
                <w:rFonts w:asciiTheme="minorHAnsi" w:eastAsiaTheme="minorHAnsi" w:hAnsiTheme="minorHAnsi" w:cstheme="minorHAnsi"/>
                <w:lang w:val="en-GB"/>
              </w:rPr>
            </w:pPr>
            <w:r w:rsidRPr="00550C4B">
              <w:rPr>
                <w:rFonts w:asciiTheme="minorHAnsi" w:eastAsiaTheme="minorHAnsi" w:hAnsiTheme="minorHAnsi" w:cstheme="minorHAnsi"/>
                <w:lang w:val="en-GB"/>
              </w:rPr>
              <w:t>To carry out any other duties as directed by the FD</w:t>
            </w:r>
          </w:p>
        </w:tc>
      </w:tr>
    </w:tbl>
    <w:p w14:paraId="3F50A7D5" w14:textId="77777777" w:rsidR="00D9228C" w:rsidRPr="00550C4B" w:rsidRDefault="00D9228C" w:rsidP="00550C4B">
      <w:pPr>
        <w:spacing w:after="0" w:line="240" w:lineRule="auto"/>
        <w:rPr>
          <w:rFonts w:cstheme="minorHAnsi"/>
          <w:sz w:val="10"/>
          <w:szCs w:val="10"/>
        </w:rPr>
      </w:pPr>
    </w:p>
    <w:tbl>
      <w:tblPr>
        <w:tblStyle w:val="TableGrid"/>
        <w:tblW w:w="0" w:type="auto"/>
        <w:tblLook w:val="04A0" w:firstRow="1" w:lastRow="0" w:firstColumn="1" w:lastColumn="0" w:noHBand="0" w:noVBand="1"/>
      </w:tblPr>
      <w:tblGrid>
        <w:gridCol w:w="9016"/>
      </w:tblGrid>
      <w:tr w:rsidR="008B227C" w:rsidRPr="00550C4B" w14:paraId="0164FDCC" w14:textId="77777777" w:rsidTr="00E1521E">
        <w:tc>
          <w:tcPr>
            <w:tcW w:w="9016" w:type="dxa"/>
            <w:shd w:val="clear" w:color="auto" w:fill="59A9F2" w:themeFill="accent1" w:themeFillTint="99"/>
          </w:tcPr>
          <w:p w14:paraId="25712A00" w14:textId="6AA6D46F" w:rsidR="008B227C" w:rsidRPr="00703583" w:rsidRDefault="008B227C" w:rsidP="00550C4B">
            <w:pPr>
              <w:rPr>
                <w:rFonts w:cstheme="minorHAnsi"/>
                <w:b/>
                <w:bCs/>
              </w:rPr>
            </w:pPr>
            <w:r w:rsidRPr="00703583">
              <w:rPr>
                <w:rFonts w:cstheme="minorHAnsi"/>
                <w:b/>
                <w:bCs/>
              </w:rPr>
              <w:t>Confidentiality</w:t>
            </w:r>
          </w:p>
        </w:tc>
      </w:tr>
      <w:tr w:rsidR="008B227C" w:rsidRPr="00550C4B" w14:paraId="4FE24587" w14:textId="77777777" w:rsidTr="00991BA4">
        <w:tc>
          <w:tcPr>
            <w:tcW w:w="9016" w:type="dxa"/>
          </w:tcPr>
          <w:p w14:paraId="1A692CA4" w14:textId="533554AD" w:rsidR="008B227C" w:rsidRPr="00550C4B" w:rsidRDefault="00D71659" w:rsidP="00550C4B">
            <w:pPr>
              <w:rPr>
                <w:rFonts w:cstheme="minorHAnsi"/>
              </w:rPr>
            </w:pPr>
            <w:proofErr w:type="gramStart"/>
            <w:r w:rsidRPr="00550C4B">
              <w:rPr>
                <w:rFonts w:cstheme="minorHAnsi"/>
              </w:rPr>
              <w:t>During the course of</w:t>
            </w:r>
            <w:proofErr w:type="gramEnd"/>
            <w:r w:rsidRPr="00550C4B">
              <w:rPr>
                <w:rFonts w:cstheme="minorHAnsi"/>
              </w:rPr>
              <w:t xml:space="preserve"> your employment you may see, hear or have access to, information on matters of a confidential nature relation to the work of the Trust or to the health and personal affairs of pupils and staff.  Under no circumstances should such information be divulged or passed on to any unauthorised person or organisation. </w:t>
            </w:r>
          </w:p>
        </w:tc>
      </w:tr>
    </w:tbl>
    <w:p w14:paraId="7C292683" w14:textId="369228FE" w:rsidR="00D9228C" w:rsidRPr="00550C4B" w:rsidRDefault="00D9228C" w:rsidP="00550C4B">
      <w:pPr>
        <w:spacing w:after="0" w:line="240" w:lineRule="auto"/>
        <w:rPr>
          <w:rFonts w:cstheme="minorHAnsi"/>
          <w:sz w:val="10"/>
          <w:szCs w:val="10"/>
        </w:rPr>
      </w:pPr>
    </w:p>
    <w:tbl>
      <w:tblPr>
        <w:tblStyle w:val="TableGrid"/>
        <w:tblW w:w="0" w:type="auto"/>
        <w:tblLook w:val="04A0" w:firstRow="1" w:lastRow="0" w:firstColumn="1" w:lastColumn="0" w:noHBand="0" w:noVBand="1"/>
      </w:tblPr>
      <w:tblGrid>
        <w:gridCol w:w="9016"/>
      </w:tblGrid>
      <w:tr w:rsidR="008B227C" w:rsidRPr="00550C4B" w14:paraId="17FB4389" w14:textId="77777777" w:rsidTr="00E1521E">
        <w:tc>
          <w:tcPr>
            <w:tcW w:w="9016" w:type="dxa"/>
            <w:shd w:val="clear" w:color="auto" w:fill="59A9F2" w:themeFill="accent1" w:themeFillTint="99"/>
          </w:tcPr>
          <w:p w14:paraId="2CDC3C1F" w14:textId="5FB0A59D" w:rsidR="008B227C" w:rsidRPr="00703583" w:rsidRDefault="008B227C" w:rsidP="00550C4B">
            <w:pPr>
              <w:rPr>
                <w:rFonts w:cstheme="minorHAnsi"/>
                <w:b/>
                <w:bCs/>
              </w:rPr>
            </w:pPr>
            <w:r w:rsidRPr="00703583">
              <w:rPr>
                <w:rFonts w:cstheme="minorHAnsi"/>
                <w:b/>
                <w:bCs/>
              </w:rPr>
              <w:t>GDPR</w:t>
            </w:r>
          </w:p>
        </w:tc>
      </w:tr>
      <w:tr w:rsidR="008B227C" w:rsidRPr="00550C4B" w14:paraId="3932EF55" w14:textId="77777777" w:rsidTr="00991BA4">
        <w:tc>
          <w:tcPr>
            <w:tcW w:w="9016" w:type="dxa"/>
          </w:tcPr>
          <w:p w14:paraId="1D5AA32E" w14:textId="6B8A112F" w:rsidR="008B227C" w:rsidRPr="00550C4B" w:rsidRDefault="005F6901" w:rsidP="00550C4B">
            <w:pPr>
              <w:rPr>
                <w:rFonts w:cstheme="minorHAnsi"/>
              </w:rPr>
            </w:pPr>
            <w:proofErr w:type="gramStart"/>
            <w:r w:rsidRPr="00550C4B">
              <w:rPr>
                <w:rFonts w:cstheme="minorHAnsi"/>
              </w:rPr>
              <w:t>During the course of</w:t>
            </w:r>
            <w:proofErr w:type="gramEnd"/>
            <w:r w:rsidRPr="00550C4B">
              <w:rPr>
                <w:rFonts w:cstheme="minorHAnsi"/>
              </w:rPr>
              <w:t xml:space="preserve"> your </w:t>
            </w:r>
            <w:proofErr w:type="gramStart"/>
            <w:r w:rsidRPr="00550C4B">
              <w:rPr>
                <w:rFonts w:cstheme="minorHAnsi"/>
              </w:rPr>
              <w:t>employment</w:t>
            </w:r>
            <w:proofErr w:type="gramEnd"/>
            <w:r w:rsidRPr="00550C4B">
              <w:rPr>
                <w:rFonts w:cstheme="minorHAnsi"/>
              </w:rPr>
              <w:t xml:space="preserve"> you will have access to data and personal information which should be managed in accordance with the General Data Protection Regulations (‘GDPR’).</w:t>
            </w:r>
          </w:p>
        </w:tc>
      </w:tr>
    </w:tbl>
    <w:p w14:paraId="65E8BE5F" w14:textId="77777777" w:rsidR="008B227C" w:rsidRPr="00703583" w:rsidRDefault="008B227C" w:rsidP="00550C4B">
      <w:pPr>
        <w:spacing w:after="0" w:line="240" w:lineRule="auto"/>
        <w:rPr>
          <w:rFonts w:cstheme="minorHAnsi"/>
          <w:b/>
          <w:bCs/>
          <w:sz w:val="10"/>
          <w:szCs w:val="10"/>
        </w:rPr>
      </w:pPr>
    </w:p>
    <w:tbl>
      <w:tblPr>
        <w:tblStyle w:val="TableGrid"/>
        <w:tblW w:w="0" w:type="auto"/>
        <w:tblLook w:val="04A0" w:firstRow="1" w:lastRow="0" w:firstColumn="1" w:lastColumn="0" w:noHBand="0" w:noVBand="1"/>
      </w:tblPr>
      <w:tblGrid>
        <w:gridCol w:w="9016"/>
      </w:tblGrid>
      <w:tr w:rsidR="008B227C" w:rsidRPr="00703583" w14:paraId="6C49738B" w14:textId="77777777" w:rsidTr="00E1521E">
        <w:tc>
          <w:tcPr>
            <w:tcW w:w="9016" w:type="dxa"/>
            <w:shd w:val="clear" w:color="auto" w:fill="59A9F2" w:themeFill="accent1" w:themeFillTint="99"/>
          </w:tcPr>
          <w:p w14:paraId="1D309825" w14:textId="400A0B55" w:rsidR="008B227C" w:rsidRPr="00703583" w:rsidRDefault="008B227C" w:rsidP="00550C4B">
            <w:pPr>
              <w:rPr>
                <w:rFonts w:cstheme="minorHAnsi"/>
                <w:b/>
                <w:bCs/>
              </w:rPr>
            </w:pPr>
            <w:r w:rsidRPr="00703583">
              <w:rPr>
                <w:rFonts w:cstheme="minorHAnsi"/>
                <w:b/>
                <w:bCs/>
              </w:rPr>
              <w:t>Safeguarding Children</w:t>
            </w:r>
          </w:p>
        </w:tc>
      </w:tr>
      <w:tr w:rsidR="008B227C" w:rsidRPr="00550C4B" w14:paraId="0642CD62" w14:textId="77777777" w:rsidTr="00991BA4">
        <w:tc>
          <w:tcPr>
            <w:tcW w:w="9016" w:type="dxa"/>
          </w:tcPr>
          <w:p w14:paraId="3ABAFA65" w14:textId="77777777" w:rsidR="006D4D2E" w:rsidRPr="00550C4B" w:rsidRDefault="006D4D2E" w:rsidP="00550C4B">
            <w:pPr>
              <w:rPr>
                <w:rFonts w:cstheme="minorHAnsi"/>
              </w:rPr>
            </w:pPr>
            <w:r w:rsidRPr="00550C4B">
              <w:rPr>
                <w:rFonts w:cstheme="minorHAnsi"/>
              </w:rPr>
              <w:t>In accordance with the Trust’s commitment to follow and adhere to the most recent versions of the Department for Education’s guidance entitled "Keeping Children Safe in Education" and “Safeguarding Children and Young People and Young Vulnerable Adults Policy” and all other relevant guidance and legislation in respect of safeguarding children, you are required to demonstrate your commitment to promoting and safeguarding the welfare of children and young people in the Trust.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Trust.</w:t>
            </w:r>
          </w:p>
          <w:p w14:paraId="3224CB29" w14:textId="77777777" w:rsidR="006D4D2E" w:rsidRPr="00550C4B" w:rsidRDefault="006D4D2E" w:rsidP="00550C4B">
            <w:pPr>
              <w:rPr>
                <w:rFonts w:cstheme="minorHAnsi"/>
              </w:rPr>
            </w:pPr>
            <w:r w:rsidRPr="00550C4B">
              <w:rPr>
                <w:rFonts w:cstheme="minorHAnsi"/>
              </w:rPr>
              <w:t> </w:t>
            </w:r>
          </w:p>
          <w:p w14:paraId="58E28CDD" w14:textId="6E8EDFD2" w:rsidR="008B227C" w:rsidRPr="00550C4B" w:rsidRDefault="006D4D2E" w:rsidP="00550C4B">
            <w:pPr>
              <w:rPr>
                <w:rFonts w:cstheme="minorHAnsi"/>
              </w:rPr>
            </w:pPr>
            <w:r w:rsidRPr="00550C4B">
              <w:rPr>
                <w:rFonts w:cstheme="minorHAnsi"/>
              </w:rPr>
              <w:t xml:space="preserve">You are also required to know and comply with the most recent version of the DfE document ‘Guidance for Safer Working Practice for Adults who work with Children and Young People.’ You are required to have satisfactory Enhanced DBS clearance with barred list information.  Your role requires you to </w:t>
            </w:r>
            <w:proofErr w:type="gramStart"/>
            <w:r w:rsidRPr="00550C4B">
              <w:rPr>
                <w:rFonts w:cstheme="minorHAnsi"/>
              </w:rPr>
              <w:t>observe and maintain appropriate professional boundaries at all times</w:t>
            </w:r>
            <w:proofErr w:type="gramEnd"/>
            <w:r w:rsidRPr="00550C4B">
              <w:rPr>
                <w:rFonts w:cstheme="minorHAnsi"/>
              </w:rPr>
              <w:t xml:space="preserve"> and avoid behaviour that might be misinterpreted by others.  You must understand and carry out your duties in accordance with the responsibilities of being in a position of trust and </w:t>
            </w:r>
            <w:proofErr w:type="gramStart"/>
            <w:r w:rsidRPr="00550C4B">
              <w:rPr>
                <w:rFonts w:cstheme="minorHAnsi"/>
              </w:rPr>
              <w:t>despatch your duty of care appropriately at all times</w:t>
            </w:r>
            <w:proofErr w:type="gramEnd"/>
            <w:r w:rsidRPr="00550C4B">
              <w:rPr>
                <w:rFonts w:cstheme="minorHAnsi"/>
              </w:rPr>
              <w:t xml:space="preserve">.  You will be expected to present a consistently positive image of the Trust and </w:t>
            </w:r>
            <w:proofErr w:type="gramStart"/>
            <w:r w:rsidRPr="00550C4B">
              <w:rPr>
                <w:rFonts w:cstheme="minorHAnsi"/>
              </w:rPr>
              <w:t>uphold public trust and confidence at all times</w:t>
            </w:r>
            <w:proofErr w:type="gramEnd"/>
            <w:r w:rsidRPr="00550C4B">
              <w:rPr>
                <w:rFonts w:cstheme="minorHAnsi"/>
              </w:rPr>
              <w:t>.</w:t>
            </w:r>
          </w:p>
        </w:tc>
      </w:tr>
    </w:tbl>
    <w:p w14:paraId="05A1AC90" w14:textId="77777777" w:rsidR="00D9228C" w:rsidRPr="00550C4B" w:rsidRDefault="00D9228C" w:rsidP="00550C4B">
      <w:pPr>
        <w:spacing w:after="0" w:line="240" w:lineRule="auto"/>
        <w:rPr>
          <w:rFonts w:cstheme="minorHAnsi"/>
          <w:sz w:val="10"/>
          <w:szCs w:val="10"/>
        </w:rPr>
      </w:pPr>
    </w:p>
    <w:tbl>
      <w:tblPr>
        <w:tblStyle w:val="TableGrid"/>
        <w:tblW w:w="0" w:type="auto"/>
        <w:tblLook w:val="04A0" w:firstRow="1" w:lastRow="0" w:firstColumn="1" w:lastColumn="0" w:noHBand="0" w:noVBand="1"/>
      </w:tblPr>
      <w:tblGrid>
        <w:gridCol w:w="9016"/>
      </w:tblGrid>
      <w:tr w:rsidR="008B227C" w:rsidRPr="00550C4B" w14:paraId="7807408B" w14:textId="77777777" w:rsidTr="00E1521E">
        <w:tc>
          <w:tcPr>
            <w:tcW w:w="9016" w:type="dxa"/>
            <w:shd w:val="clear" w:color="auto" w:fill="59A9F2" w:themeFill="accent1" w:themeFillTint="99"/>
          </w:tcPr>
          <w:p w14:paraId="6F004295" w14:textId="7063A8F4" w:rsidR="008B227C" w:rsidRPr="00703583" w:rsidRDefault="00E1521E" w:rsidP="00550C4B">
            <w:pPr>
              <w:rPr>
                <w:rFonts w:cstheme="minorHAnsi"/>
                <w:b/>
                <w:bCs/>
              </w:rPr>
            </w:pPr>
            <w:r w:rsidRPr="00703583">
              <w:rPr>
                <w:rFonts w:cstheme="minorHAnsi"/>
                <w:b/>
                <w:bCs/>
              </w:rPr>
              <w:t>Health &amp; Safety</w:t>
            </w:r>
          </w:p>
        </w:tc>
      </w:tr>
      <w:tr w:rsidR="008B227C" w:rsidRPr="00550C4B" w14:paraId="503792AD" w14:textId="77777777" w:rsidTr="00991BA4">
        <w:tc>
          <w:tcPr>
            <w:tcW w:w="9016" w:type="dxa"/>
          </w:tcPr>
          <w:p w14:paraId="234956FA" w14:textId="77777777" w:rsidR="00550C4B" w:rsidRPr="00550C4B" w:rsidRDefault="00550C4B" w:rsidP="00550C4B">
            <w:pPr>
              <w:rPr>
                <w:rFonts w:cstheme="minorHAnsi"/>
              </w:rPr>
            </w:pPr>
            <w:r w:rsidRPr="00550C4B">
              <w:rPr>
                <w:rFonts w:cstheme="minorHAnsi"/>
              </w:rPr>
              <w:t xml:space="preserve">You are required to </w:t>
            </w:r>
            <w:proofErr w:type="gramStart"/>
            <w:r w:rsidRPr="00550C4B">
              <w:rPr>
                <w:rFonts w:cstheme="minorHAnsi"/>
              </w:rPr>
              <w:t>comply with the school’s Health and Safety policy at all times</w:t>
            </w:r>
            <w:proofErr w:type="gramEnd"/>
            <w:r w:rsidRPr="00550C4B">
              <w:rPr>
                <w:rFonts w:cstheme="minorHAnsi"/>
              </w:rPr>
              <w:t>.</w:t>
            </w:r>
          </w:p>
          <w:p w14:paraId="4943FC6C" w14:textId="77777777" w:rsidR="008B227C" w:rsidRPr="00550C4B" w:rsidRDefault="008B227C" w:rsidP="00550C4B">
            <w:pPr>
              <w:rPr>
                <w:rFonts w:cstheme="minorHAnsi"/>
              </w:rPr>
            </w:pPr>
          </w:p>
        </w:tc>
      </w:tr>
    </w:tbl>
    <w:p w14:paraId="28F58BC8" w14:textId="77777777" w:rsidR="008B227C" w:rsidRPr="008B06BA" w:rsidRDefault="008B227C" w:rsidP="00550C4B">
      <w:pPr>
        <w:spacing w:after="0" w:line="240" w:lineRule="auto"/>
        <w:rPr>
          <w:rFonts w:cstheme="minorHAnsi"/>
        </w:rPr>
      </w:pPr>
    </w:p>
    <w:sectPr w:rsidR="008B227C" w:rsidRPr="008B06BA" w:rsidSect="005D1B98">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56FB" w14:textId="77777777" w:rsidR="00893587" w:rsidRDefault="00893587" w:rsidP="00156CB5">
      <w:pPr>
        <w:spacing w:after="0" w:line="240" w:lineRule="auto"/>
      </w:pPr>
      <w:r>
        <w:separator/>
      </w:r>
    </w:p>
  </w:endnote>
  <w:endnote w:type="continuationSeparator" w:id="0">
    <w:p w14:paraId="28ED3561" w14:textId="77777777" w:rsidR="00893587" w:rsidRDefault="00893587" w:rsidP="00156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791783"/>
      <w:docPartObj>
        <w:docPartGallery w:val="Page Numbers (Bottom of Page)"/>
        <w:docPartUnique/>
      </w:docPartObj>
    </w:sdtPr>
    <w:sdtEndPr>
      <w:rPr>
        <w:noProof/>
      </w:rPr>
    </w:sdtEndPr>
    <w:sdtContent>
      <w:p w14:paraId="6FF746F9" w14:textId="2391C8A1" w:rsidR="00156CB5" w:rsidRDefault="00156C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C9E6F8" w14:textId="65EFEE4F" w:rsidR="00156CB5" w:rsidRPr="00156CB5" w:rsidRDefault="00DF2891">
    <w:pPr>
      <w:pStyle w:val="Footer"/>
      <w:rPr>
        <w:sz w:val="18"/>
        <w:szCs w:val="18"/>
      </w:rPr>
    </w:pPr>
    <w:r>
      <w:rPr>
        <w:sz w:val="18"/>
        <w:szCs w:val="18"/>
      </w:rPr>
      <w:t xml:space="preserve">JD </w:t>
    </w:r>
    <w:r w:rsidR="00550C4B">
      <w:rPr>
        <w:sz w:val="18"/>
        <w:szCs w:val="18"/>
      </w:rPr>
      <w:t>02/2023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0516" w14:textId="77777777" w:rsidR="00893587" w:rsidRDefault="00893587" w:rsidP="00156CB5">
      <w:pPr>
        <w:spacing w:after="0" w:line="240" w:lineRule="auto"/>
      </w:pPr>
      <w:r>
        <w:separator/>
      </w:r>
    </w:p>
  </w:footnote>
  <w:footnote w:type="continuationSeparator" w:id="0">
    <w:p w14:paraId="6AA25A46" w14:textId="77777777" w:rsidR="00893587" w:rsidRDefault="00893587" w:rsidP="00156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3012" w14:textId="215B7328" w:rsidR="00156CB5" w:rsidRDefault="00156CB5">
    <w:pPr>
      <w:pStyle w:val="Header"/>
    </w:pPr>
    <w:r>
      <w:rPr>
        <w:noProof/>
      </w:rPr>
      <w:drawing>
        <wp:anchor distT="0" distB="0" distL="114300" distR="114300" simplePos="0" relativeHeight="251658240" behindDoc="1" locked="0" layoutInCell="1" allowOverlap="1" wp14:anchorId="0D8C0389" wp14:editId="1118CCBB">
          <wp:simplePos x="0" y="0"/>
          <wp:positionH relativeFrom="column">
            <wp:posOffset>4945380</wp:posOffset>
          </wp:positionH>
          <wp:positionV relativeFrom="page">
            <wp:posOffset>273685</wp:posOffset>
          </wp:positionV>
          <wp:extent cx="1073150" cy="6273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24E4A3" w14:textId="77777777" w:rsidR="00156CB5" w:rsidRDefault="00156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F7791"/>
    <w:multiLevelType w:val="hybridMultilevel"/>
    <w:tmpl w:val="9E161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C87755"/>
    <w:multiLevelType w:val="hybridMultilevel"/>
    <w:tmpl w:val="8EB42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677B9"/>
    <w:multiLevelType w:val="hybridMultilevel"/>
    <w:tmpl w:val="99000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FB59A3"/>
    <w:multiLevelType w:val="hybridMultilevel"/>
    <w:tmpl w:val="F17E0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8E454E"/>
    <w:multiLevelType w:val="hybridMultilevel"/>
    <w:tmpl w:val="227A1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373DC"/>
    <w:multiLevelType w:val="hybridMultilevel"/>
    <w:tmpl w:val="43FEE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AA19C2"/>
    <w:multiLevelType w:val="hybridMultilevel"/>
    <w:tmpl w:val="D190F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E84404"/>
    <w:multiLevelType w:val="hybridMultilevel"/>
    <w:tmpl w:val="1ACA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0FAEFF"/>
    <w:multiLevelType w:val="hybridMultilevel"/>
    <w:tmpl w:val="3D180B22"/>
    <w:lvl w:ilvl="0" w:tplc="84B46D1A">
      <w:start w:val="1"/>
      <w:numFmt w:val="bullet"/>
      <w:lvlText w:val=""/>
      <w:lvlJc w:val="left"/>
      <w:pPr>
        <w:ind w:left="720" w:hanging="360"/>
      </w:pPr>
      <w:rPr>
        <w:rFonts w:ascii="Symbol" w:hAnsi="Symbol" w:hint="default"/>
      </w:rPr>
    </w:lvl>
    <w:lvl w:ilvl="1" w:tplc="E20A3084">
      <w:start w:val="1"/>
      <w:numFmt w:val="bullet"/>
      <w:lvlText w:val="o"/>
      <w:lvlJc w:val="left"/>
      <w:pPr>
        <w:ind w:left="1440" w:hanging="360"/>
      </w:pPr>
      <w:rPr>
        <w:rFonts w:ascii="Courier New" w:hAnsi="Courier New" w:hint="default"/>
      </w:rPr>
    </w:lvl>
    <w:lvl w:ilvl="2" w:tplc="9B50B904">
      <w:start w:val="1"/>
      <w:numFmt w:val="bullet"/>
      <w:lvlText w:val=""/>
      <w:lvlJc w:val="left"/>
      <w:pPr>
        <w:ind w:left="2160" w:hanging="360"/>
      </w:pPr>
      <w:rPr>
        <w:rFonts w:ascii="Wingdings" w:hAnsi="Wingdings" w:hint="default"/>
      </w:rPr>
    </w:lvl>
    <w:lvl w:ilvl="3" w:tplc="4C84CC5E">
      <w:start w:val="1"/>
      <w:numFmt w:val="bullet"/>
      <w:lvlText w:val=""/>
      <w:lvlJc w:val="left"/>
      <w:pPr>
        <w:ind w:left="2880" w:hanging="360"/>
      </w:pPr>
      <w:rPr>
        <w:rFonts w:ascii="Symbol" w:hAnsi="Symbol" w:hint="default"/>
      </w:rPr>
    </w:lvl>
    <w:lvl w:ilvl="4" w:tplc="CEE6F82A">
      <w:start w:val="1"/>
      <w:numFmt w:val="bullet"/>
      <w:lvlText w:val="o"/>
      <w:lvlJc w:val="left"/>
      <w:pPr>
        <w:ind w:left="3600" w:hanging="360"/>
      </w:pPr>
      <w:rPr>
        <w:rFonts w:ascii="Courier New" w:hAnsi="Courier New" w:hint="default"/>
      </w:rPr>
    </w:lvl>
    <w:lvl w:ilvl="5" w:tplc="2A4E7202">
      <w:start w:val="1"/>
      <w:numFmt w:val="bullet"/>
      <w:lvlText w:val=""/>
      <w:lvlJc w:val="left"/>
      <w:pPr>
        <w:ind w:left="4320" w:hanging="360"/>
      </w:pPr>
      <w:rPr>
        <w:rFonts w:ascii="Wingdings" w:hAnsi="Wingdings" w:hint="default"/>
      </w:rPr>
    </w:lvl>
    <w:lvl w:ilvl="6" w:tplc="3EAE21AE">
      <w:start w:val="1"/>
      <w:numFmt w:val="bullet"/>
      <w:lvlText w:val=""/>
      <w:lvlJc w:val="left"/>
      <w:pPr>
        <w:ind w:left="5040" w:hanging="360"/>
      </w:pPr>
      <w:rPr>
        <w:rFonts w:ascii="Symbol" w:hAnsi="Symbol" w:hint="default"/>
      </w:rPr>
    </w:lvl>
    <w:lvl w:ilvl="7" w:tplc="507058EE">
      <w:start w:val="1"/>
      <w:numFmt w:val="bullet"/>
      <w:lvlText w:val="o"/>
      <w:lvlJc w:val="left"/>
      <w:pPr>
        <w:ind w:left="5760" w:hanging="360"/>
      </w:pPr>
      <w:rPr>
        <w:rFonts w:ascii="Courier New" w:hAnsi="Courier New" w:hint="default"/>
      </w:rPr>
    </w:lvl>
    <w:lvl w:ilvl="8" w:tplc="F98C267A">
      <w:start w:val="1"/>
      <w:numFmt w:val="bullet"/>
      <w:lvlText w:val=""/>
      <w:lvlJc w:val="left"/>
      <w:pPr>
        <w:ind w:left="6480" w:hanging="360"/>
      </w:pPr>
      <w:rPr>
        <w:rFonts w:ascii="Wingdings" w:hAnsi="Wingdings" w:hint="default"/>
      </w:rPr>
    </w:lvl>
  </w:abstractNum>
  <w:abstractNum w:abstractNumId="12" w15:restartNumberingAfterBreak="0">
    <w:nsid w:val="52E439E6"/>
    <w:multiLevelType w:val="hybridMultilevel"/>
    <w:tmpl w:val="D2AEE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2347C9"/>
    <w:multiLevelType w:val="hybridMultilevel"/>
    <w:tmpl w:val="4DECD3FE"/>
    <w:lvl w:ilvl="0" w:tplc="0896D78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4" w15:restartNumberingAfterBreak="0">
    <w:nsid w:val="57D2658B"/>
    <w:multiLevelType w:val="hybridMultilevel"/>
    <w:tmpl w:val="9864A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3C0E03"/>
    <w:multiLevelType w:val="hybridMultilevel"/>
    <w:tmpl w:val="6DAA7B94"/>
    <w:lvl w:ilvl="0" w:tplc="08090001">
      <w:start w:val="1"/>
      <w:numFmt w:val="bullet"/>
      <w:lvlText w:val=""/>
      <w:lvlJc w:val="left"/>
      <w:pPr>
        <w:ind w:left="884" w:hanging="360"/>
      </w:pPr>
      <w:rPr>
        <w:rFonts w:ascii="Symbol" w:hAnsi="Symbol"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16" w15:restartNumberingAfterBreak="0">
    <w:nsid w:val="64F272B2"/>
    <w:multiLevelType w:val="hybridMultilevel"/>
    <w:tmpl w:val="7D00C714"/>
    <w:lvl w:ilvl="0" w:tplc="A35EBA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8E2BAE"/>
    <w:multiLevelType w:val="hybridMultilevel"/>
    <w:tmpl w:val="C040F486"/>
    <w:lvl w:ilvl="0" w:tplc="0896D78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007A43"/>
    <w:multiLevelType w:val="hybridMultilevel"/>
    <w:tmpl w:val="BF7E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85466E"/>
    <w:multiLevelType w:val="hybridMultilevel"/>
    <w:tmpl w:val="78329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A53E15"/>
    <w:multiLevelType w:val="hybridMultilevel"/>
    <w:tmpl w:val="E9202EB2"/>
    <w:lvl w:ilvl="0" w:tplc="90161BF6">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43595533">
    <w:abstractNumId w:val="10"/>
  </w:num>
  <w:num w:numId="2" w16cid:durableId="207542298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07186532">
    <w:abstractNumId w:val="20"/>
  </w:num>
  <w:num w:numId="4" w16cid:durableId="1523324549">
    <w:abstractNumId w:val="1"/>
  </w:num>
  <w:num w:numId="5" w16cid:durableId="1004864378">
    <w:abstractNumId w:val="3"/>
  </w:num>
  <w:num w:numId="6" w16cid:durableId="1262177562">
    <w:abstractNumId w:val="7"/>
  </w:num>
  <w:num w:numId="7" w16cid:durableId="362755925">
    <w:abstractNumId w:val="16"/>
  </w:num>
  <w:num w:numId="8" w16cid:durableId="1083793165">
    <w:abstractNumId w:val="13"/>
  </w:num>
  <w:num w:numId="9" w16cid:durableId="1671103192">
    <w:abstractNumId w:val="17"/>
  </w:num>
  <w:num w:numId="10" w16cid:durableId="416636192">
    <w:abstractNumId w:val="2"/>
  </w:num>
  <w:num w:numId="11" w16cid:durableId="1664355358">
    <w:abstractNumId w:val="4"/>
  </w:num>
  <w:num w:numId="12" w16cid:durableId="1855873057">
    <w:abstractNumId w:val="6"/>
  </w:num>
  <w:num w:numId="13" w16cid:durableId="933129365">
    <w:abstractNumId w:val="12"/>
  </w:num>
  <w:num w:numId="14" w16cid:durableId="1472751640">
    <w:abstractNumId w:val="8"/>
  </w:num>
  <w:num w:numId="15" w16cid:durableId="777987676">
    <w:abstractNumId w:val="14"/>
  </w:num>
  <w:num w:numId="16" w16cid:durableId="1124730515">
    <w:abstractNumId w:val="18"/>
  </w:num>
  <w:num w:numId="17" w16cid:durableId="616260942">
    <w:abstractNumId w:val="5"/>
  </w:num>
  <w:num w:numId="18" w16cid:durableId="1083643384">
    <w:abstractNumId w:val="19"/>
  </w:num>
  <w:num w:numId="19" w16cid:durableId="1060985242">
    <w:abstractNumId w:val="15"/>
  </w:num>
  <w:num w:numId="20" w16cid:durableId="1573003073">
    <w:abstractNumId w:val="21"/>
  </w:num>
  <w:num w:numId="21" w16cid:durableId="780303226">
    <w:abstractNumId w:val="11"/>
  </w:num>
  <w:num w:numId="22" w16cid:durableId="1116023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B5"/>
    <w:rsid w:val="00011108"/>
    <w:rsid w:val="00051219"/>
    <w:rsid w:val="00094C22"/>
    <w:rsid w:val="000A4E33"/>
    <w:rsid w:val="000A6D5C"/>
    <w:rsid w:val="000E3291"/>
    <w:rsid w:val="0012445A"/>
    <w:rsid w:val="00134AC2"/>
    <w:rsid w:val="00155A13"/>
    <w:rsid w:val="00156CB5"/>
    <w:rsid w:val="00184C93"/>
    <w:rsid w:val="001927F0"/>
    <w:rsid w:val="001B0A8E"/>
    <w:rsid w:val="001B6BA6"/>
    <w:rsid w:val="001E39F3"/>
    <w:rsid w:val="001F3374"/>
    <w:rsid w:val="00227E46"/>
    <w:rsid w:val="0026750D"/>
    <w:rsid w:val="002C1C8A"/>
    <w:rsid w:val="002D37D1"/>
    <w:rsid w:val="002D795B"/>
    <w:rsid w:val="00317A57"/>
    <w:rsid w:val="003560C5"/>
    <w:rsid w:val="003714A0"/>
    <w:rsid w:val="003B5F4C"/>
    <w:rsid w:val="003C0BE0"/>
    <w:rsid w:val="003C2430"/>
    <w:rsid w:val="003E1EEF"/>
    <w:rsid w:val="00406574"/>
    <w:rsid w:val="00461AA1"/>
    <w:rsid w:val="00464184"/>
    <w:rsid w:val="004B10AA"/>
    <w:rsid w:val="004B4E14"/>
    <w:rsid w:val="004F0584"/>
    <w:rsid w:val="00545B28"/>
    <w:rsid w:val="00550C4B"/>
    <w:rsid w:val="0057168F"/>
    <w:rsid w:val="00586E03"/>
    <w:rsid w:val="005A2919"/>
    <w:rsid w:val="005D1B98"/>
    <w:rsid w:val="005D77A3"/>
    <w:rsid w:val="005E38AD"/>
    <w:rsid w:val="005F6901"/>
    <w:rsid w:val="00603CF8"/>
    <w:rsid w:val="006344E2"/>
    <w:rsid w:val="0065377F"/>
    <w:rsid w:val="006D4D2E"/>
    <w:rsid w:val="006E0692"/>
    <w:rsid w:val="006E3B94"/>
    <w:rsid w:val="00703583"/>
    <w:rsid w:val="007074AD"/>
    <w:rsid w:val="00720542"/>
    <w:rsid w:val="0076164A"/>
    <w:rsid w:val="00772135"/>
    <w:rsid w:val="007F4F23"/>
    <w:rsid w:val="00801052"/>
    <w:rsid w:val="0089029C"/>
    <w:rsid w:val="00892EE6"/>
    <w:rsid w:val="00893587"/>
    <w:rsid w:val="008B06BA"/>
    <w:rsid w:val="008B227C"/>
    <w:rsid w:val="008B7865"/>
    <w:rsid w:val="008C5579"/>
    <w:rsid w:val="008D6B31"/>
    <w:rsid w:val="008D746E"/>
    <w:rsid w:val="008E612F"/>
    <w:rsid w:val="00907DD9"/>
    <w:rsid w:val="00911177"/>
    <w:rsid w:val="00932312"/>
    <w:rsid w:val="00945566"/>
    <w:rsid w:val="009701F3"/>
    <w:rsid w:val="00974B0B"/>
    <w:rsid w:val="00992E2E"/>
    <w:rsid w:val="009A6168"/>
    <w:rsid w:val="009C7E8C"/>
    <w:rsid w:val="009F2847"/>
    <w:rsid w:val="00A0576B"/>
    <w:rsid w:val="00A1214A"/>
    <w:rsid w:val="00A75710"/>
    <w:rsid w:val="00A978B1"/>
    <w:rsid w:val="00AB0FFF"/>
    <w:rsid w:val="00B108D8"/>
    <w:rsid w:val="00B247CB"/>
    <w:rsid w:val="00B35235"/>
    <w:rsid w:val="00B549A5"/>
    <w:rsid w:val="00B77297"/>
    <w:rsid w:val="00B941B4"/>
    <w:rsid w:val="00BA3553"/>
    <w:rsid w:val="00BB58BB"/>
    <w:rsid w:val="00C06837"/>
    <w:rsid w:val="00C110D4"/>
    <w:rsid w:val="00C11AB3"/>
    <w:rsid w:val="00C72C67"/>
    <w:rsid w:val="00CA639A"/>
    <w:rsid w:val="00CF1486"/>
    <w:rsid w:val="00CF620A"/>
    <w:rsid w:val="00D63485"/>
    <w:rsid w:val="00D71659"/>
    <w:rsid w:val="00D7458B"/>
    <w:rsid w:val="00D9228C"/>
    <w:rsid w:val="00DE4949"/>
    <w:rsid w:val="00DF2891"/>
    <w:rsid w:val="00DF6F60"/>
    <w:rsid w:val="00E0169C"/>
    <w:rsid w:val="00E1521E"/>
    <w:rsid w:val="00E2122D"/>
    <w:rsid w:val="00E23945"/>
    <w:rsid w:val="00E269B5"/>
    <w:rsid w:val="00E33304"/>
    <w:rsid w:val="00E42CEF"/>
    <w:rsid w:val="00E508A6"/>
    <w:rsid w:val="00E67733"/>
    <w:rsid w:val="00EA1D75"/>
    <w:rsid w:val="00EE76F9"/>
    <w:rsid w:val="00EF0500"/>
    <w:rsid w:val="00EF7F8B"/>
    <w:rsid w:val="00F04502"/>
    <w:rsid w:val="00F11523"/>
    <w:rsid w:val="00F27394"/>
    <w:rsid w:val="00F41D36"/>
    <w:rsid w:val="00F56541"/>
    <w:rsid w:val="00F624F5"/>
    <w:rsid w:val="00F871FF"/>
    <w:rsid w:val="00F93E86"/>
    <w:rsid w:val="00FC61FB"/>
    <w:rsid w:val="00FE5211"/>
    <w:rsid w:val="00FE5DA3"/>
    <w:rsid w:val="00FF5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541D"/>
  <w15:chartTrackingRefBased/>
  <w15:docId w15:val="{6313B490-9B96-4841-91B9-86743824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CB5"/>
  </w:style>
  <w:style w:type="paragraph" w:styleId="Footer">
    <w:name w:val="footer"/>
    <w:basedOn w:val="Normal"/>
    <w:link w:val="FooterChar"/>
    <w:uiPriority w:val="99"/>
    <w:unhideWhenUsed/>
    <w:rsid w:val="00156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CB5"/>
  </w:style>
  <w:style w:type="table" w:styleId="TableGrid">
    <w:name w:val="Table Grid"/>
    <w:basedOn w:val="TableNormal"/>
    <w:uiPriority w:val="39"/>
    <w:rsid w:val="00E67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64184"/>
    <w:pPr>
      <w:spacing w:after="0" w:line="240" w:lineRule="auto"/>
      <w:jc w:val="both"/>
    </w:pPr>
    <w:rPr>
      <w:rFonts w:ascii="Arial" w:eastAsia="Times New Roman" w:hAnsi="Arial" w:cs="Times New Roman"/>
      <w:b/>
      <w:i/>
      <w:szCs w:val="20"/>
      <w:lang w:eastAsia="en-GB"/>
    </w:rPr>
  </w:style>
  <w:style w:type="character" w:customStyle="1" w:styleId="BodyTextChar">
    <w:name w:val="Body Text Char"/>
    <w:basedOn w:val="DefaultParagraphFont"/>
    <w:link w:val="BodyText"/>
    <w:rsid w:val="00464184"/>
    <w:rPr>
      <w:rFonts w:ascii="Arial" w:eastAsia="Times New Roman" w:hAnsi="Arial" w:cs="Times New Roman"/>
      <w:b/>
      <w:i/>
      <w:szCs w:val="20"/>
      <w:lang w:eastAsia="en-GB"/>
    </w:rPr>
  </w:style>
  <w:style w:type="paragraph" w:styleId="ListParagraph">
    <w:name w:val="List Paragraph"/>
    <w:basedOn w:val="Normal"/>
    <w:uiPriority w:val="34"/>
    <w:qFormat/>
    <w:rsid w:val="00464184"/>
    <w:pPr>
      <w:spacing w:after="0" w:line="240" w:lineRule="auto"/>
      <w:ind w:left="720"/>
      <w:contextualSpacing/>
    </w:pPr>
    <w:rPr>
      <w:rFonts w:ascii="Arial" w:eastAsia="Times New Roman" w:hAnsi="Arial" w:cs="Arial"/>
      <w:lang w:val="en-US"/>
    </w:rPr>
  </w:style>
  <w:style w:type="paragraph" w:customStyle="1" w:styleId="Default">
    <w:name w:val="Default"/>
    <w:rsid w:val="0046418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7F4F23"/>
    <w:pPr>
      <w:spacing w:after="0" w:line="240" w:lineRule="auto"/>
    </w:pPr>
  </w:style>
  <w:style w:type="character" w:styleId="Hyperlink">
    <w:name w:val="Hyperlink"/>
    <w:basedOn w:val="DefaultParagraphFont"/>
    <w:uiPriority w:val="99"/>
    <w:unhideWhenUsed/>
    <w:rsid w:val="000A6D5C"/>
    <w:rPr>
      <w:color w:val="F49100" w:themeColor="hyperlink"/>
      <w:u w:val="single"/>
    </w:rPr>
  </w:style>
  <w:style w:type="character" w:styleId="UnresolvedMention">
    <w:name w:val="Unresolved Mention"/>
    <w:basedOn w:val="DefaultParagraphFont"/>
    <w:uiPriority w:val="99"/>
    <w:semiHidden/>
    <w:unhideWhenUsed/>
    <w:rsid w:val="000A6D5C"/>
    <w:rPr>
      <w:color w:val="605E5C"/>
      <w:shd w:val="clear" w:color="auto" w:fill="E1DFDD"/>
    </w:rPr>
  </w:style>
  <w:style w:type="character" w:customStyle="1" w:styleId="apple-style-span">
    <w:name w:val="apple-style-span"/>
    <w:basedOn w:val="DefaultParagraphFont"/>
    <w:rsid w:val="00F62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43">
      <w:bodyDiv w:val="1"/>
      <w:marLeft w:val="0"/>
      <w:marRight w:val="0"/>
      <w:marTop w:val="0"/>
      <w:marBottom w:val="0"/>
      <w:divBdr>
        <w:top w:val="none" w:sz="0" w:space="0" w:color="auto"/>
        <w:left w:val="none" w:sz="0" w:space="0" w:color="auto"/>
        <w:bottom w:val="none" w:sz="0" w:space="0" w:color="auto"/>
        <w:right w:val="none" w:sz="0" w:space="0" w:color="auto"/>
      </w:divBdr>
    </w:div>
    <w:div w:id="467481775">
      <w:bodyDiv w:val="1"/>
      <w:marLeft w:val="0"/>
      <w:marRight w:val="0"/>
      <w:marTop w:val="0"/>
      <w:marBottom w:val="0"/>
      <w:divBdr>
        <w:top w:val="none" w:sz="0" w:space="0" w:color="auto"/>
        <w:left w:val="none" w:sz="0" w:space="0" w:color="auto"/>
        <w:bottom w:val="none" w:sz="0" w:space="0" w:color="auto"/>
        <w:right w:val="none" w:sz="0" w:space="0" w:color="auto"/>
      </w:divBdr>
    </w:div>
    <w:div w:id="501090347">
      <w:bodyDiv w:val="1"/>
      <w:marLeft w:val="0"/>
      <w:marRight w:val="0"/>
      <w:marTop w:val="0"/>
      <w:marBottom w:val="0"/>
      <w:divBdr>
        <w:top w:val="none" w:sz="0" w:space="0" w:color="auto"/>
        <w:left w:val="none" w:sz="0" w:space="0" w:color="auto"/>
        <w:bottom w:val="none" w:sz="0" w:space="0" w:color="auto"/>
        <w:right w:val="none" w:sz="0" w:space="0" w:color="auto"/>
      </w:divBdr>
    </w:div>
    <w:div w:id="534777648">
      <w:bodyDiv w:val="1"/>
      <w:marLeft w:val="0"/>
      <w:marRight w:val="0"/>
      <w:marTop w:val="0"/>
      <w:marBottom w:val="0"/>
      <w:divBdr>
        <w:top w:val="none" w:sz="0" w:space="0" w:color="auto"/>
        <w:left w:val="none" w:sz="0" w:space="0" w:color="auto"/>
        <w:bottom w:val="none" w:sz="0" w:space="0" w:color="auto"/>
        <w:right w:val="none" w:sz="0" w:space="0" w:color="auto"/>
      </w:divBdr>
    </w:div>
    <w:div w:id="666909964">
      <w:bodyDiv w:val="1"/>
      <w:marLeft w:val="0"/>
      <w:marRight w:val="0"/>
      <w:marTop w:val="0"/>
      <w:marBottom w:val="0"/>
      <w:divBdr>
        <w:top w:val="none" w:sz="0" w:space="0" w:color="auto"/>
        <w:left w:val="none" w:sz="0" w:space="0" w:color="auto"/>
        <w:bottom w:val="none" w:sz="0" w:space="0" w:color="auto"/>
        <w:right w:val="none" w:sz="0" w:space="0" w:color="auto"/>
      </w:divBdr>
    </w:div>
    <w:div w:id="671879994">
      <w:bodyDiv w:val="1"/>
      <w:marLeft w:val="0"/>
      <w:marRight w:val="0"/>
      <w:marTop w:val="0"/>
      <w:marBottom w:val="0"/>
      <w:divBdr>
        <w:top w:val="none" w:sz="0" w:space="0" w:color="auto"/>
        <w:left w:val="none" w:sz="0" w:space="0" w:color="auto"/>
        <w:bottom w:val="none" w:sz="0" w:space="0" w:color="auto"/>
        <w:right w:val="none" w:sz="0" w:space="0" w:color="auto"/>
      </w:divBdr>
    </w:div>
    <w:div w:id="1167282867">
      <w:bodyDiv w:val="1"/>
      <w:marLeft w:val="0"/>
      <w:marRight w:val="0"/>
      <w:marTop w:val="0"/>
      <w:marBottom w:val="0"/>
      <w:divBdr>
        <w:top w:val="none" w:sz="0" w:space="0" w:color="auto"/>
        <w:left w:val="none" w:sz="0" w:space="0" w:color="auto"/>
        <w:bottom w:val="none" w:sz="0" w:space="0" w:color="auto"/>
        <w:right w:val="none" w:sz="0" w:space="0" w:color="auto"/>
      </w:divBdr>
    </w:div>
    <w:div w:id="1213539924">
      <w:bodyDiv w:val="1"/>
      <w:marLeft w:val="0"/>
      <w:marRight w:val="0"/>
      <w:marTop w:val="0"/>
      <w:marBottom w:val="0"/>
      <w:divBdr>
        <w:top w:val="none" w:sz="0" w:space="0" w:color="auto"/>
        <w:left w:val="none" w:sz="0" w:space="0" w:color="auto"/>
        <w:bottom w:val="none" w:sz="0" w:space="0" w:color="auto"/>
        <w:right w:val="none" w:sz="0" w:space="0" w:color="auto"/>
      </w:divBdr>
    </w:div>
    <w:div w:id="181432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d46aa6-b747-429c-9b90-b212dfb860d3" xsi:nil="true"/>
    <lcf76f155ced4ddcb4097134ff3c332f xmlns="6707d313-bcc7-4092-bba5-2821d30ada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82D2674B85634BBACC87243E71ABA9" ma:contentTypeVersion="15" ma:contentTypeDescription="Create a new document." ma:contentTypeScope="" ma:versionID="585eb05c1b0c63dcf7583798c61bf9ec">
  <xsd:schema xmlns:xsd="http://www.w3.org/2001/XMLSchema" xmlns:xs="http://www.w3.org/2001/XMLSchema" xmlns:p="http://schemas.microsoft.com/office/2006/metadata/properties" xmlns:ns2="6707d313-bcc7-4092-bba5-2821d30ada6d" xmlns:ns3="bbd46aa6-b747-429c-9b90-b212dfb860d3" targetNamespace="http://schemas.microsoft.com/office/2006/metadata/properties" ma:root="true" ma:fieldsID="dd2f253f2d244ac1e918d68fe0a86d58" ns2:_="" ns3:_="">
    <xsd:import namespace="6707d313-bcc7-4092-bba5-2821d30ada6d"/>
    <xsd:import namespace="bbd46aa6-b747-429c-9b90-b212dfb860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7d313-bcc7-4092-bba5-2821d30ad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e7ef3b-c241-49f9-9bdf-15155b6676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d46aa6-b747-429c-9b90-b212dfb860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a083523-a171-4303-9475-eda00d1e3d82}" ma:internalName="TaxCatchAll" ma:showField="CatchAllData" ma:web="bbd46aa6-b747-429c-9b90-b212dfb86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C77D1-E5B8-44C0-B680-FE7928432D3D}">
  <ds:schemaRefs>
    <ds:schemaRef ds:uri="http://schemas.microsoft.com/office/2006/metadata/properties"/>
    <ds:schemaRef ds:uri="http://schemas.microsoft.com/office/infopath/2007/PartnerControls"/>
    <ds:schemaRef ds:uri="bbd46aa6-b747-429c-9b90-b212dfb860d3"/>
    <ds:schemaRef ds:uri="6707d313-bcc7-4092-bba5-2821d30ada6d"/>
  </ds:schemaRefs>
</ds:datastoreItem>
</file>

<file path=customXml/itemProps2.xml><?xml version="1.0" encoding="utf-8"?>
<ds:datastoreItem xmlns:ds="http://schemas.openxmlformats.org/officeDocument/2006/customXml" ds:itemID="{40FD80F8-549D-4F8C-BC13-41A6DBB6CCC7}">
  <ds:schemaRefs>
    <ds:schemaRef ds:uri="http://schemas.microsoft.com/sharepoint/v3/contenttype/forms"/>
  </ds:schemaRefs>
</ds:datastoreItem>
</file>

<file path=customXml/itemProps3.xml><?xml version="1.0" encoding="utf-8"?>
<ds:datastoreItem xmlns:ds="http://schemas.openxmlformats.org/officeDocument/2006/customXml" ds:itemID="{2BE532E3-DD25-4459-8343-0E471D00E488}">
  <ds:schemaRefs>
    <ds:schemaRef ds:uri="http://schemas.openxmlformats.org/officeDocument/2006/bibliography"/>
  </ds:schemaRefs>
</ds:datastoreItem>
</file>

<file path=customXml/itemProps4.xml><?xml version="1.0" encoding="utf-8"?>
<ds:datastoreItem xmlns:ds="http://schemas.openxmlformats.org/officeDocument/2006/customXml" ds:itemID="{93880EBC-758E-413F-9272-9B8D1ADE5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7d313-bcc7-4092-bba5-2821d30ada6d"/>
    <ds:schemaRef ds:uri="bbd46aa6-b747-429c-9b90-b212dfb86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Mahmi</dc:creator>
  <cp:keywords/>
  <dc:description/>
  <cp:lastModifiedBy>K. Jassal</cp:lastModifiedBy>
  <cp:revision>27</cp:revision>
  <dcterms:created xsi:type="dcterms:W3CDTF">2026-06-22T16:20:00Z</dcterms:created>
  <dcterms:modified xsi:type="dcterms:W3CDTF">2026-06-22T17:14:00Z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0x0101004F82D2674B85634BBACC87243E71ABA9</vt:lpwstr>
  </property>
  <property fmtid="{D5CDD505-2E9C-101B-9397-08002B2CF9AE}" pid="3" name="MediaServiceImageTags">
    <vt:lpwstr/>
  </property>
</Properties>
</file>