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9C625" w14:textId="77777777" w:rsidR="00C40BA7" w:rsidRPr="00C40BA7" w:rsidRDefault="00C40BA7" w:rsidP="00685874">
      <w:pPr>
        <w:pStyle w:val="Heading2"/>
        <w:numPr>
          <w:ilvl w:val="0"/>
          <w:numId w:val="0"/>
        </w:numPr>
        <w:overflowPunct/>
        <w:ind w:left="567" w:hanging="567"/>
        <w:rPr>
          <w:rFonts w:asciiTheme="minorHAnsi" w:hAnsiTheme="minorHAnsi" w:cstheme="minorHAnsi"/>
          <w:szCs w:val="22"/>
        </w:rPr>
      </w:pPr>
      <w:bookmarkStart w:id="0" w:name="_Toc78889863"/>
      <w:r w:rsidRPr="00C40BA7">
        <w:rPr>
          <w:rFonts w:asciiTheme="minorHAnsi" w:hAnsiTheme="minorHAnsi" w:cstheme="minorHAnsi"/>
          <w:color w:val="auto"/>
          <w:kern w:val="0"/>
          <w:szCs w:val="22"/>
        </w:rPr>
        <w:t>P</w:t>
      </w:r>
      <w:r w:rsidRPr="00C40BA7">
        <w:rPr>
          <w:rFonts w:asciiTheme="minorHAnsi" w:hAnsiTheme="minorHAnsi" w:cstheme="minorHAnsi"/>
          <w:szCs w:val="22"/>
        </w:rPr>
        <w:t>rofessional Duties of all Teaching Assistants</w:t>
      </w:r>
      <w:bookmarkEnd w:id="0"/>
    </w:p>
    <w:p w14:paraId="34136AF5" w14:textId="77777777" w:rsidR="00C40BA7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67FB19F6" w14:textId="77777777" w:rsidR="00C40BA7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271FCDDB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</w:pPr>
      <w:r w:rsidRPr="00685874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Overall Role and Remit</w:t>
      </w:r>
    </w:p>
    <w:p w14:paraId="0A291C16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</w:rPr>
      </w:pPr>
    </w:p>
    <w:p w14:paraId="66271D14" w14:textId="77777777"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>To work with students, as directed by the Special Educational Needs Coordinator, to ensure all SEND students make the best possible progress in school, both academically and socially including accessing extra-curricular provision (including T26 and SEN lunch clubs)</w:t>
      </w:r>
    </w:p>
    <w:p w14:paraId="0593851A" w14:textId="77777777"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>Participate in the timely collection and analysis of student data to ensure the deployment of Teaching Assistants is effective and appropriate using the ‘Assess, Plan, Do, Review’ process.</w:t>
      </w:r>
    </w:p>
    <w:p w14:paraId="0765DB17" w14:textId="77777777"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>Deliver interventions which are data driven and subject to the ‘Assess, Plan, Do, Review’ process.</w:t>
      </w:r>
    </w:p>
    <w:p w14:paraId="6992AE03" w14:textId="77777777"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</w:rPr>
        <w:t xml:space="preserve">Work closely with the SENCO to </w:t>
      </w:r>
      <w:r w:rsidRPr="00685874">
        <w:rPr>
          <w:rFonts w:asciiTheme="minorHAnsi" w:hAnsiTheme="minorHAnsi" w:cstheme="minorHAnsi"/>
          <w:sz w:val="22"/>
          <w:szCs w:val="22"/>
          <w:lang w:val="en-US"/>
        </w:rPr>
        <w:t>ensure that the school is compliant with the SEN Code of Practice and Equalities Act.</w:t>
      </w:r>
    </w:p>
    <w:p w14:paraId="3B2A8CD2" w14:textId="77777777" w:rsidR="00C40BA7" w:rsidRPr="00685874" w:rsidRDefault="00C40BA7" w:rsidP="00C40BA7">
      <w:pPr>
        <w:widowControl/>
        <w:numPr>
          <w:ilvl w:val="0"/>
          <w:numId w:val="2"/>
        </w:numPr>
        <w:overflowPunct/>
        <w:autoSpaceDE/>
        <w:adjustRight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>To liaise directly with families and colleagues sharing data where appropriate.</w:t>
      </w:r>
    </w:p>
    <w:p w14:paraId="6A69250F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</w:rPr>
      </w:pPr>
    </w:p>
    <w:p w14:paraId="5EBFA94F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</w:pPr>
      <w:r w:rsidRPr="00685874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>Leadership and Management</w:t>
      </w:r>
    </w:p>
    <w:p w14:paraId="79CF1503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186601B6" w14:textId="77777777" w:rsidR="00C40BA7" w:rsidRPr="00685874" w:rsidRDefault="00C40BA7" w:rsidP="00C40BA7">
      <w:pPr>
        <w:pStyle w:val="ListParagraph"/>
        <w:numPr>
          <w:ilvl w:val="0"/>
          <w:numId w:val="3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Meet South Wirral High School standards of leadership, as appropriate to your role in school. </w:t>
      </w:r>
    </w:p>
    <w:p w14:paraId="1C5C7311" w14:textId="77777777" w:rsidR="00C40BA7" w:rsidRPr="00685874" w:rsidRDefault="00C40BA7" w:rsidP="00C40BA7">
      <w:pPr>
        <w:pStyle w:val="ListParagraph"/>
        <w:numPr>
          <w:ilvl w:val="0"/>
          <w:numId w:val="3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Lead on your area of department specialism to include working closely with other colleagues as appropriate</w:t>
      </w:r>
    </w:p>
    <w:p w14:paraId="21B725C0" w14:textId="77777777" w:rsidR="00C40BA7" w:rsidRPr="00685874" w:rsidRDefault="00C40BA7" w:rsidP="00C40BA7">
      <w:pPr>
        <w:pStyle w:val="ListParagraph"/>
        <w:numPr>
          <w:ilvl w:val="0"/>
          <w:numId w:val="3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Manage your SEND student cohort, ensuring their SEND information and ‘teaching strategies’ information is reviewed and updated annually following consultation with all teachers and other relevant stake holders</w:t>
      </w:r>
    </w:p>
    <w:p w14:paraId="0A2FF0AC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6C30B99E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</w:pPr>
      <w:r w:rsidRPr="00685874">
        <w:rPr>
          <w:rFonts w:asciiTheme="minorHAnsi" w:hAnsiTheme="minorHAnsi" w:cstheme="minorHAnsi"/>
          <w:b/>
          <w:color w:val="auto"/>
          <w:kern w:val="0"/>
          <w:sz w:val="22"/>
          <w:szCs w:val="22"/>
          <w:u w:val="single"/>
        </w:rPr>
        <w:t xml:space="preserve">Quality of Teaching and Assessment </w:t>
      </w:r>
    </w:p>
    <w:p w14:paraId="244DD903" w14:textId="77777777" w:rsidR="00C40BA7" w:rsidRPr="00685874" w:rsidRDefault="00C40BA7" w:rsidP="00C40BA7">
      <w:p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</w:p>
    <w:p w14:paraId="598B103F" w14:textId="77777777"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Demonstrate an informed and efficient approach to teaching and learning by adopting relevant strategies to support the work of the teacher and increase achievement of all 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students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 </w:t>
      </w:r>
    </w:p>
    <w:p w14:paraId="46FB17A7" w14:textId="77777777"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Promote, support and facilitate inclusion by encouraging participation of all 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student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 in learning and extracurricular activities.</w:t>
      </w:r>
    </w:p>
    <w:p w14:paraId="29C7488C" w14:textId="77777777"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Use effective behaviour management strategies consistently in line with the school’s policy and procedures.</w:t>
      </w:r>
    </w:p>
    <w:p w14:paraId="5D36E565" w14:textId="77777777"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Contribute to effective assessment and planning by supporting the monitori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ng, recording and reporting of student 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performance and progress</w:t>
      </w:r>
    </w:p>
    <w:p w14:paraId="1E0B38EC" w14:textId="77777777"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Communicate effectively and sensitively with </w:t>
      </w:r>
      <w:r w:rsidR="006E5ADD"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student</w:t>
      </w: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s to adapt to their needs and support their learning.</w:t>
      </w:r>
    </w:p>
    <w:p w14:paraId="2F93786C" w14:textId="77777777" w:rsidR="00C40BA7" w:rsidRPr="00685874" w:rsidRDefault="00C40BA7" w:rsidP="00C40BA7">
      <w:pPr>
        <w:pStyle w:val="ListParagraph"/>
        <w:numPr>
          <w:ilvl w:val="0"/>
          <w:numId w:val="4"/>
        </w:numPr>
        <w:overflowPunct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 w:rsidRPr="00685874">
        <w:rPr>
          <w:rFonts w:asciiTheme="minorHAnsi" w:hAnsiTheme="minorHAnsi" w:cstheme="minorHAnsi"/>
          <w:color w:val="auto"/>
          <w:kern w:val="0"/>
          <w:sz w:val="22"/>
          <w:szCs w:val="22"/>
        </w:rPr>
        <w:t>Maintain a stimulating and safe learning environment by organising and managing physical teaching space and resources.</w:t>
      </w:r>
    </w:p>
    <w:p w14:paraId="477F9409" w14:textId="77777777" w:rsidR="006E5ADD" w:rsidRPr="00685874" w:rsidRDefault="006E5ADD" w:rsidP="00C40BA7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14:paraId="045EFE15" w14:textId="77777777" w:rsidR="00C40BA7" w:rsidRPr="00685874" w:rsidRDefault="00C40BA7" w:rsidP="00C40BA7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68587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Personal Development, </w:t>
      </w:r>
      <w:proofErr w:type="spellStart"/>
      <w:r w:rsidRPr="0068587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Behaviour</w:t>
      </w:r>
      <w:proofErr w:type="spellEnd"/>
      <w:r w:rsidRPr="00685874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and Safety</w:t>
      </w:r>
    </w:p>
    <w:p w14:paraId="4B4612D1" w14:textId="77777777" w:rsidR="00C40BA7" w:rsidRPr="00685874" w:rsidRDefault="00C40BA7" w:rsidP="00C40BA7">
      <w:pPr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A4CB5B0" w14:textId="77777777" w:rsidR="00C40BA7" w:rsidRPr="00685874" w:rsidRDefault="00C40BA7" w:rsidP="00C40BA7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>Work closely with the SENCO to:</w:t>
      </w:r>
    </w:p>
    <w:p w14:paraId="4BE31201" w14:textId="77777777" w:rsidR="00C40BA7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</w:rPr>
        <w:t xml:space="preserve">Promote and maintaining the engagement of SEND students with high quality extra-curricular activities </w:t>
      </w:r>
    </w:p>
    <w:p w14:paraId="61368DDF" w14:textId="77777777" w:rsidR="00C40BA7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</w:rPr>
        <w:t>Ensure the team communicates effectively with parents/carers, so there is complete clarity and understanding of any aspect relating to their child’s development</w:t>
      </w:r>
    </w:p>
    <w:p w14:paraId="04ED983B" w14:textId="77777777" w:rsidR="00C40BA7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 xml:space="preserve">Ensure that the school is compliant with the SEND Code of Practice and Equalities Act </w:t>
      </w:r>
    </w:p>
    <w:p w14:paraId="29F5B859" w14:textId="77777777" w:rsidR="00006029" w:rsidRPr="00685874" w:rsidRDefault="00C40BA7" w:rsidP="00C40BA7">
      <w:pPr>
        <w:widowControl/>
        <w:numPr>
          <w:ilvl w:val="0"/>
          <w:numId w:val="5"/>
        </w:numPr>
        <w:overflowPunct/>
        <w:autoSpaceDE/>
        <w:adjustRightInd/>
        <w:ind w:left="426" w:hanging="426"/>
        <w:jc w:val="both"/>
        <w:rPr>
          <w:sz w:val="22"/>
          <w:szCs w:val="22"/>
        </w:rPr>
      </w:pPr>
      <w:r w:rsidRPr="00685874">
        <w:rPr>
          <w:rFonts w:asciiTheme="minorHAnsi" w:hAnsiTheme="minorHAnsi" w:cstheme="minorHAnsi"/>
          <w:sz w:val="22"/>
          <w:szCs w:val="22"/>
          <w:lang w:val="en-US"/>
        </w:rPr>
        <w:t xml:space="preserve">Establish and maintain consistent high aspirations, expectations and standards across the team in relation to the schools </w:t>
      </w:r>
      <w:proofErr w:type="spellStart"/>
      <w:r w:rsidRPr="00685874">
        <w:rPr>
          <w:rFonts w:asciiTheme="minorHAnsi" w:hAnsiTheme="minorHAnsi" w:cstheme="minorHAnsi"/>
          <w:sz w:val="22"/>
          <w:szCs w:val="22"/>
          <w:lang w:val="en-US"/>
        </w:rPr>
        <w:t>behaviour</w:t>
      </w:r>
      <w:proofErr w:type="spellEnd"/>
      <w:r w:rsidRPr="00685874">
        <w:rPr>
          <w:rFonts w:asciiTheme="minorHAnsi" w:hAnsiTheme="minorHAnsi" w:cstheme="minorHAnsi"/>
          <w:sz w:val="22"/>
          <w:szCs w:val="22"/>
          <w:lang w:val="en-US"/>
        </w:rPr>
        <w:t xml:space="preserve"> and CIAG policies</w:t>
      </w:r>
    </w:p>
    <w:sectPr w:rsidR="00006029" w:rsidRPr="00685874" w:rsidSect="00685874">
      <w:headerReference w:type="default" r:id="rId7"/>
      <w:pgSz w:w="11906" w:h="16838"/>
      <w:pgMar w:top="1134" w:right="1133" w:bottom="144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F51E" w14:textId="77777777" w:rsidR="00C40BA7" w:rsidRDefault="00C40BA7" w:rsidP="00C40BA7">
      <w:r>
        <w:separator/>
      </w:r>
    </w:p>
  </w:endnote>
  <w:endnote w:type="continuationSeparator" w:id="0">
    <w:p w14:paraId="438916B5" w14:textId="77777777" w:rsidR="00C40BA7" w:rsidRDefault="00C40BA7" w:rsidP="00C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483B" w14:textId="77777777" w:rsidR="00C40BA7" w:rsidRDefault="00C40BA7" w:rsidP="00C40BA7">
      <w:r>
        <w:separator/>
      </w:r>
    </w:p>
  </w:footnote>
  <w:footnote w:type="continuationSeparator" w:id="0">
    <w:p w14:paraId="466D8EF8" w14:textId="77777777" w:rsidR="00C40BA7" w:rsidRDefault="00C40BA7" w:rsidP="00C4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71E6" w14:textId="77777777" w:rsidR="00C40BA7" w:rsidRDefault="003D3653" w:rsidP="00C40BA7">
    <w:pPr>
      <w:pStyle w:val="Header"/>
      <w:jc w:val="center"/>
    </w:pPr>
    <w:r w:rsidRPr="00455C05">
      <w:rPr>
        <w:noProof/>
      </w:rPr>
      <w:drawing>
        <wp:inline distT="0" distB="0" distL="0" distR="0" wp14:anchorId="213E401E" wp14:editId="6C2E8AA6">
          <wp:extent cx="3057525" cy="400050"/>
          <wp:effectExtent l="0" t="0" r="952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F6E06"/>
    <w:multiLevelType w:val="hybridMultilevel"/>
    <w:tmpl w:val="42041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A4200"/>
    <w:multiLevelType w:val="hybridMultilevel"/>
    <w:tmpl w:val="B694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F0BE2"/>
    <w:multiLevelType w:val="hybridMultilevel"/>
    <w:tmpl w:val="3C3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F74A6"/>
    <w:multiLevelType w:val="multilevel"/>
    <w:tmpl w:val="FD5ECA2A"/>
    <w:lvl w:ilvl="0">
      <w:start w:val="1"/>
      <w:numFmt w:val="decimal"/>
      <w:pStyle w:val="Heading1"/>
      <w:lvlText w:val="%1"/>
      <w:lvlJc w:val="left"/>
      <w:pPr>
        <w:ind w:left="3763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9507" w:hanging="576"/>
      </w:pPr>
      <w:rPr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355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E310328"/>
    <w:multiLevelType w:val="hybridMultilevel"/>
    <w:tmpl w:val="6E565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4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8260">
    <w:abstractNumId w:val="2"/>
  </w:num>
  <w:num w:numId="3" w16cid:durableId="1139886319">
    <w:abstractNumId w:val="4"/>
  </w:num>
  <w:num w:numId="4" w16cid:durableId="78140371">
    <w:abstractNumId w:val="0"/>
  </w:num>
  <w:num w:numId="5" w16cid:durableId="213243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A7"/>
    <w:rsid w:val="00006029"/>
    <w:rsid w:val="000D7151"/>
    <w:rsid w:val="003942D4"/>
    <w:rsid w:val="003D3653"/>
    <w:rsid w:val="00685874"/>
    <w:rsid w:val="006E5ADD"/>
    <w:rsid w:val="00C40BA7"/>
    <w:rsid w:val="00C6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7B3EF9"/>
  <w15:chartTrackingRefBased/>
  <w15:docId w15:val="{A184E126-7958-45B0-85B4-AB8F63D7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A7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0BA7"/>
    <w:pPr>
      <w:keepNext/>
      <w:numPr>
        <w:numId w:val="1"/>
      </w:numPr>
      <w:autoSpaceDE/>
      <w:autoSpaceDN/>
      <w:spacing w:line="360" w:lineRule="auto"/>
      <w:ind w:left="360"/>
      <w:outlineLvl w:val="0"/>
    </w:pPr>
    <w:rPr>
      <w:rFonts w:cs="Arial"/>
      <w:b/>
      <w:bCs/>
      <w:color w:val="auto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BA7"/>
    <w:pPr>
      <w:keepNext/>
      <w:numPr>
        <w:ilvl w:val="1"/>
        <w:numId w:val="1"/>
      </w:numPr>
      <w:spacing w:before="240" w:after="60"/>
      <w:ind w:left="567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BA7"/>
    <w:pPr>
      <w:keepNext/>
      <w:numPr>
        <w:ilvl w:val="2"/>
        <w:numId w:val="1"/>
      </w:numPr>
      <w:spacing w:before="240" w:after="60"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BA7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BA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BA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semiHidden/>
    <w:unhideWhenUsed/>
    <w:qFormat/>
    <w:rsid w:val="00C40BA7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 w:cs="Arial"/>
      <w:b/>
      <w:bCs/>
      <w:color w:val="auto"/>
      <w:kern w:val="28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BA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link w:val="Heading9Char"/>
    <w:uiPriority w:val="99"/>
    <w:semiHidden/>
    <w:unhideWhenUsed/>
    <w:qFormat/>
    <w:rsid w:val="00C40BA7"/>
    <w:pPr>
      <w:keepNext/>
      <w:numPr>
        <w:ilvl w:val="8"/>
        <w:numId w:val="1"/>
      </w:numPr>
      <w:outlineLvl w:val="8"/>
    </w:pPr>
    <w:rPr>
      <w:b/>
      <w:bCs/>
      <w:color w:val="auto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40BA7"/>
    <w:rPr>
      <w:rFonts w:ascii="Times New Roman" w:eastAsia="Times New Roman" w:hAnsi="Times New Roman" w:cs="Arial"/>
      <w:b/>
      <w:bCs/>
      <w:kern w:val="28"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BA7"/>
    <w:rPr>
      <w:rFonts w:ascii="Times New Roman" w:eastAsia="Times New Roman" w:hAnsi="Times New Roman" w:cs="Times New Roman"/>
      <w:b/>
      <w:bCs/>
      <w:iCs/>
      <w:color w:val="000000"/>
      <w:kern w:val="3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BA7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BA7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BA7"/>
    <w:rPr>
      <w:rFonts w:ascii="Calibri" w:eastAsia="Times New Roman" w:hAnsi="Calibri" w:cs="Times New Roman"/>
      <w:b/>
      <w:bCs/>
      <w:i/>
      <w:iCs/>
      <w:color w:val="000000"/>
      <w:kern w:val="30"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BA7"/>
    <w:rPr>
      <w:rFonts w:ascii="Calibri" w:eastAsia="Times New Roman" w:hAnsi="Calibri" w:cs="Times New Roman"/>
      <w:b/>
      <w:bCs/>
      <w:color w:val="000000"/>
      <w:kern w:val="3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40BA7"/>
    <w:rPr>
      <w:rFonts w:ascii="Arial" w:eastAsia="Times New Roman" w:hAnsi="Arial" w:cs="Arial"/>
      <w:b/>
      <w:bCs/>
      <w:kern w:val="28"/>
      <w:sz w:val="36"/>
      <w:szCs w:val="3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BA7"/>
    <w:rPr>
      <w:rFonts w:ascii="Calibri" w:eastAsia="Times New Roman" w:hAnsi="Calibri" w:cs="Times New Roman"/>
      <w:i/>
      <w:iCs/>
      <w:color w:val="000000"/>
      <w:kern w:val="3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40BA7"/>
    <w:rPr>
      <w:rFonts w:ascii="Times New Roman" w:eastAsia="Times New Roman" w:hAnsi="Times New Roman" w:cs="Times New Roman"/>
      <w:b/>
      <w:bCs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40BA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40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BA7"/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0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BA7"/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49DA1FA6B5241B7E999D3AE92D872" ma:contentTypeVersion="11" ma:contentTypeDescription="Create a new document." ma:contentTypeScope="" ma:versionID="053afa2c8e883c273fd45370850e3931">
  <xsd:schema xmlns:xsd="http://www.w3.org/2001/XMLSchema" xmlns:xs="http://www.w3.org/2001/XMLSchema" xmlns:p="http://schemas.microsoft.com/office/2006/metadata/properties" xmlns:ns2="4f525d02-cb1e-414d-a71b-010237c6276f" xmlns:ns3="243b6e68-68ec-43a0-9608-d9fec4ad14db" targetNamespace="http://schemas.microsoft.com/office/2006/metadata/properties" ma:root="true" ma:fieldsID="8656f439a32af81f9751f29f3f621483" ns2:_="" ns3:_="">
    <xsd:import namespace="4f525d02-cb1e-414d-a71b-010237c6276f"/>
    <xsd:import namespace="243b6e68-68ec-43a0-9608-d9fec4ad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25d02-cb1e-414d-a71b-010237c62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75509-2f6c-46e7-ad8d-f28853c37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6e68-68ec-43a0-9608-d9fec4ad14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1c1c2e-895a-4043-97cf-e189ad0c4073}" ma:internalName="TaxCatchAll" ma:showField="CatchAllData" ma:web="243b6e68-68ec-43a0-9608-d9fec4ad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b6e68-68ec-43a0-9608-d9fec4ad14db" xsi:nil="true"/>
    <lcf76f155ced4ddcb4097134ff3c332f xmlns="4f525d02-cb1e-414d-a71b-010237c62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5C6D7D-EF75-4381-976E-057E6EAE542D}"/>
</file>

<file path=customXml/itemProps2.xml><?xml version="1.0" encoding="utf-8"?>
<ds:datastoreItem xmlns:ds="http://schemas.openxmlformats.org/officeDocument/2006/customXml" ds:itemID="{1EB4DCC7-B247-4AFD-8F7E-EF77ECD8B62E}"/>
</file>

<file path=customXml/itemProps3.xml><?xml version="1.0" encoding="utf-8"?>
<ds:datastoreItem xmlns:ds="http://schemas.openxmlformats.org/officeDocument/2006/customXml" ds:itemID="{B98621E3-BE21-4B6C-8E24-BE50261235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2289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Howells</dc:creator>
  <cp:keywords/>
  <dc:description/>
  <cp:lastModifiedBy>Goode V</cp:lastModifiedBy>
  <cp:revision>3</cp:revision>
  <dcterms:created xsi:type="dcterms:W3CDTF">2025-11-10T14:50:00Z</dcterms:created>
  <dcterms:modified xsi:type="dcterms:W3CDTF">2025-11-10T14:50:00Z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0x010100FC249DA1FA6B5241B7E999D3AE92D872</vt:lpwstr>
  </property>
  <property fmtid="{D5CDD505-2E9C-101B-9397-08002B2CF9AE}" pid="3" name="MediaServiceImageTags">
    <vt:lpwstr/>
  </property>
</Properties>
</file>