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b w:val="1"/>
          <w:bCs w:val="1"/>
          <w:color w:val="222222"/>
          <w:sz w:val="30"/>
          <w:szCs w:val="30"/>
          <w:rtl w:val="0"/>
        </w:rPr>
        <w:t xml:space="preserve">RLT Primary Schools Cross-Trust Science Network Leader</w:t>
      </w: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TLR 3 - £1,500 (+ funded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non-contact time - £1500) TBC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Supporting the leadership and management of </w:t>
      </w:r>
      <w:r w:rsidDel="00000000" w:rsidR="00000000" w:rsidRPr="00000000">
        <w:rPr>
          <w:b w:val="1"/>
          <w:bCs w:val="1"/>
          <w:rtl w:val="0"/>
        </w:rPr>
        <w:t xml:space="preserve">science</w:t>
      </w:r>
      <w:r w:rsidDel="00000000" w:rsidR="00000000" w:rsidRPr="00000000">
        <w:rPr>
          <w:rtl w:val="0"/>
        </w:rPr>
        <w:t xml:space="preserve"> across RLT Primary schools to secure: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Coherent and sequential curricula in schools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Excellent teacher subject knowledge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Effective development and use of resources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Improved outcomes for pupils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And to develop trust wide science enrichment activities and opportunities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 Responsibilities: </w:t>
      </w:r>
    </w:p>
    <w:p w:rsidR="00000000" w:rsidDel="00000000" w:rsidP="00000000" w:rsidRDefault="00000000" w:rsidRPr="00000000" w14:paraId="0000000F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Lead a Trust-Wide network of primary phase professionals in the area of science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Prepare an action plan for science which fulfils the main purpose of the role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the SCPs/DDoE on the delivery of the action plan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feedback to schools, the CEO and the Trust Board as necessary on progress against the action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both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Postholder will have: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Successful experience of a science subject leadership and be passionate for this subject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knowledge of the current National Curriculum and a developing insight of the curriculum review in 2026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Understanding of high-quality teaching and learning strategies; the ability to model this for others and support others to improve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Awareness of local and national organisations that can provide support with the  delivery of the science curriculum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communication and interpersonal skills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If you would like to discuss this role further, contact Felix Rayner, Deputy Director of Primary Education -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frayner@riverlearningtrust.org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Closing Date: Monday 6 July   Interviews: 9 July (tbc)     Start Date: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This role is offered to Internal RLT candidates only. On applying for this role we do request that all candidates complete an application form via the </w:t>
      </w:r>
      <w:r w:rsidDel="00000000" w:rsidR="00000000" w:rsidRPr="00000000">
        <w:rPr>
          <w:b w:val="1"/>
          <w:bCs w:val="1"/>
          <w:i w:val="1"/>
          <w:iCs w:val="1"/>
          <w:color w:val="222222"/>
          <w:sz w:val="20"/>
          <w:szCs w:val="20"/>
          <w:highlight w:val="white"/>
          <w:rtl w:val="0"/>
        </w:rPr>
        <w:t xml:space="preserve">My New Term</w:t>
      </w:r>
      <w:r w:rsidDel="00000000" w:rsidR="00000000" w:rsidRPr="00000000">
        <w:rPr>
          <w:i w:val="1"/>
          <w:iCs w:val="1"/>
          <w:color w:val="222222"/>
          <w:sz w:val="20"/>
          <w:szCs w:val="20"/>
          <w:highlight w:val="white"/>
          <w:rtl w:val="0"/>
        </w:rPr>
        <w:t xml:space="preserve">, paying particular attention to providing a personal statement outlining your motivation for the role, and relevant previous experience. The other elements of the application form (career history / qualifications) are less relevant for internal candidates, and therefore we would accept an application with just basic details completed in these areas.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widowControl w:val="0"/>
      <w:ind w:left="-969.6000000000001" w:right="-220.79999999999927" w:firstLine="0"/>
      <w:jc w:val="right"/>
      <w:rPr/>
    </w:pPr>
    <w:r w:rsidDel="00000000" w:rsidR="00000000" w:rsidRPr="00000000">
      <w:rPr>
        <w:color w:val="ffffff"/>
        <w:sz w:val="55.91999816894531"/>
        <w:szCs w:val="55.91999816894531"/>
      </w:rPr>
      <w:drawing>
        <wp:inline distB="0" distT="0" distL="0" distR="0">
          <wp:extent cx="1047750" cy="376238"/>
          <wp:effectExtent b="0" l="0" r="0" t="0"/>
          <wp:docPr descr="A close up of a logo&#10;&#10;Description generated with very high confidence" id="1" name="image1.png"/>
          <a:graphic>
            <a:graphicData uri="http://schemas.openxmlformats.org/drawingml/2006/picture">
              <pic:pic>
                <pic:nvPicPr>
                  <pic:cNvPr descr="A close up of a logo&#10;&#10;Description generated with very high confidence" id="0" name="image1.png"/>
                  <pic:cNvPicPr preferRelativeResize="0"/>
                </pic:nvPicPr>
                <pic:blipFill>
                  <a:blip r:embed="rId1"/>
                  <a:srcRect b="19262" l="0" r="0" t="23147"/>
                  <a:stretch>
                    <a:fillRect/>
                  </a:stretch>
                </pic:blipFill>
                <pic:spPr>
                  <a:xfrm>
                    <a:off x="0" y="0"/>
                    <a:ext cx="1047750" cy="376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rayner@riverlearningtrust.or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