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  <Override ContentType="application/vnd.openxmlformats-officedocument.wordprocessingml.header+xml" PartName="/word/header4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935.0" w:type="dxa"/>
        <w:jc w:val="left"/>
        <w:tblInd w:w="-13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70"/>
        <w:gridCol w:w="810"/>
        <w:gridCol w:w="5385"/>
        <w:gridCol w:w="1275"/>
        <w:gridCol w:w="1275"/>
        <w:gridCol w:w="1920"/>
        <w:tblGridChange w:id="0">
          <w:tblGrid>
            <w:gridCol w:w="270"/>
            <w:gridCol w:w="810"/>
            <w:gridCol w:w="5385"/>
            <w:gridCol w:w="1275"/>
            <w:gridCol w:w="1275"/>
            <w:gridCol w:w="192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04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05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06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Essential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07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Desirable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08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Evidence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0A">
            <w:pPr>
              <w:rPr>
                <w:rFonts w:ascii="Century Gothic" w:cs="Century Gothic" w:eastAsia="Century Gothic" w:hAnsi="Century Gothic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rPr>
                <w:rFonts w:ascii="Century Gothic" w:cs="Century Gothic" w:eastAsia="Century Gothic" w:hAnsi="Century Gothic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2"/>
                <w:szCs w:val="22"/>
                <w:rtl w:val="0"/>
              </w:rPr>
              <w:t xml:space="preserve">A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0C">
            <w:pPr>
              <w:rPr>
                <w:rFonts w:ascii="Century Gothic" w:cs="Century Gothic" w:eastAsia="Century Gothic" w:hAnsi="Century Gothic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rPr>
                <w:rFonts w:ascii="Century Gothic" w:cs="Century Gothic" w:eastAsia="Century Gothic" w:hAnsi="Century Gothic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2"/>
                <w:szCs w:val="22"/>
                <w:rtl w:val="0"/>
              </w:rPr>
              <w:t xml:space="preserve">Qualifications and Experience</w:t>
            </w:r>
          </w:p>
          <w:p w:rsidR="00000000" w:rsidDel="00000000" w:rsidP="00000000" w:rsidRDefault="00000000" w:rsidRPr="00000000" w14:paraId="0000000E">
            <w:pPr>
              <w:rPr>
                <w:rFonts w:ascii="Century Gothic" w:cs="Century Gothic" w:eastAsia="Century Gothic" w:hAnsi="Century Gothic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0F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10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A   Application</w:t>
            </w:r>
          </w:p>
          <w:p w:rsidR="00000000" w:rsidDel="00000000" w:rsidP="00000000" w:rsidRDefault="00000000" w:rsidRPr="00000000" w14:paraId="00000012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SS  Supporting Statement</w:t>
            </w:r>
          </w:p>
          <w:p w:rsidR="00000000" w:rsidDel="00000000" w:rsidP="00000000" w:rsidRDefault="00000000" w:rsidRPr="00000000" w14:paraId="00000013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I   Interview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QE1</w:t>
            </w:r>
          </w:p>
        </w:tc>
        <w:tc>
          <w:tcPr/>
          <w:p w:rsidR="00000000" w:rsidDel="00000000" w:rsidP="00000000" w:rsidRDefault="00000000" w:rsidRPr="00000000" w14:paraId="00000017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Qualified Teacher Status or QTLS (with degree level  equivalent).</w:t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rPr>
                <w:rFonts w:ascii="Century Gothic" w:cs="Century Gothic" w:eastAsia="Century Gothic" w:hAnsi="Century Gothic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22"/>
                <w:szCs w:val="22"/>
              </w:rPr>
              <w:drawing>
                <wp:inline distB="0" distT="0" distL="0" distR="0">
                  <wp:extent cx="114300" cy="114300"/>
                  <wp:effectExtent b="0" l="0" r="0" t="0"/>
                  <wp:docPr descr="MCWB01114_0000[1]" id="30" name="image1.png"/>
                  <a:graphic>
                    <a:graphicData uri="http://schemas.openxmlformats.org/drawingml/2006/picture">
                      <pic:pic>
                        <pic:nvPicPr>
                          <pic:cNvPr descr="MCWB01114_0000[1]"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A</w:t>
            </w:r>
          </w:p>
        </w:tc>
      </w:tr>
      <w:tr>
        <w:trPr>
          <w:cantSplit w:val="0"/>
          <w:trHeight w:val="1526.8359375" w:hRule="atLeast"/>
          <w:tblHeader w:val="0"/>
        </w:trPr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QE2</w:t>
            </w:r>
          </w:p>
        </w:tc>
        <w:tc>
          <w:tcPr/>
          <w:p w:rsidR="00000000" w:rsidDel="00000000" w:rsidP="00000000" w:rsidRDefault="00000000" w:rsidRPr="00000000" w14:paraId="00000021">
            <w:pPr>
              <w:spacing w:after="240" w:before="240" w:lineRule="auto"/>
              <w:ind w:left="160" w:firstLine="0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NPQ National Award for SEN Co-ordination, or a willingness to complete it within 3 years of appointment.  The NASENCo award is also valid.</w:t>
            </w:r>
          </w:p>
        </w:tc>
        <w:tc>
          <w:tcPr/>
          <w:p w:rsidR="00000000" w:rsidDel="00000000" w:rsidP="00000000" w:rsidRDefault="00000000" w:rsidRPr="00000000" w14:paraId="00000022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22"/>
                <w:szCs w:val="22"/>
              </w:rPr>
              <w:drawing>
                <wp:inline distB="0" distT="0" distL="0" distR="0">
                  <wp:extent cx="114300" cy="114300"/>
                  <wp:effectExtent b="0" l="0" r="0" t="0"/>
                  <wp:docPr descr="MCWB01114_0000[1]" id="32" name="image1.png"/>
                  <a:graphic>
                    <a:graphicData uri="http://schemas.openxmlformats.org/drawingml/2006/picture">
                      <pic:pic>
                        <pic:nvPicPr>
                          <pic:cNvPr descr="MCWB01114_0000[1]"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A,I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QE3</w:t>
            </w:r>
          </w:p>
        </w:tc>
        <w:tc>
          <w:tcPr/>
          <w:p w:rsidR="00000000" w:rsidDel="00000000" w:rsidP="00000000" w:rsidRDefault="00000000" w:rsidRPr="00000000" w14:paraId="0000002A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Recent senior or middle leadership experience in a relevant sector school</w:t>
            </w:r>
          </w:p>
        </w:tc>
        <w:tc>
          <w:tcPr/>
          <w:p w:rsidR="00000000" w:rsidDel="00000000" w:rsidP="00000000" w:rsidRDefault="00000000" w:rsidRPr="00000000" w14:paraId="0000002C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22"/>
                <w:szCs w:val="22"/>
              </w:rPr>
              <w:drawing>
                <wp:inline distB="0" distT="0" distL="0" distR="0">
                  <wp:extent cx="114300" cy="114300"/>
                  <wp:effectExtent b="0" l="0" r="0" t="0"/>
                  <wp:docPr descr="MCWB01114_0000[1]" id="31" name="image1.png"/>
                  <a:graphic>
                    <a:graphicData uri="http://schemas.openxmlformats.org/drawingml/2006/picture">
                      <pic:pic>
                        <pic:nvPicPr>
                          <pic:cNvPr descr="MCWB01114_0000[1]"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A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32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QE4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after="240" w:before="240" w:lineRule="auto"/>
              <w:ind w:left="160" w:firstLine="0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Exemplary teaching experience in a secondary setting and of working with children with a range of SEN and SEMH</w:t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rFonts w:ascii="Century Gothic" w:cs="Century Gothic" w:eastAsia="Century Gothic" w:hAnsi="Century Gothic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</w:rPr>
              <w:drawing>
                <wp:inline distB="0" distT="0" distL="0" distR="0">
                  <wp:extent cx="114300" cy="114300"/>
                  <wp:effectExtent b="0" l="0" r="0" t="0"/>
                  <wp:docPr descr="MCWB01114_0000[1]" id="29" name="image1.png"/>
                  <a:graphic>
                    <a:graphicData uri="http://schemas.openxmlformats.org/drawingml/2006/picture">
                      <pic:pic>
                        <pic:nvPicPr>
                          <pic:cNvPr descr="MCWB01114_0000[1]"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rPr>
                <w:rFonts w:ascii="Century Gothic" w:cs="Century Gothic" w:eastAsia="Century Gothic" w:hAnsi="Century Gothic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SS, 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QE5</w:t>
            </w:r>
          </w:p>
        </w:tc>
        <w:tc>
          <w:tcPr/>
          <w:p w:rsidR="00000000" w:rsidDel="00000000" w:rsidP="00000000" w:rsidRDefault="00000000" w:rsidRPr="00000000" w14:paraId="0000003F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Level 7 Certificate in Testing for Exam Access Arrangements </w:t>
            </w:r>
          </w:p>
        </w:tc>
        <w:tc>
          <w:tcPr/>
          <w:p w:rsidR="00000000" w:rsidDel="00000000" w:rsidP="00000000" w:rsidRDefault="00000000" w:rsidRPr="00000000" w14:paraId="00000040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</w:rPr>
              <w:drawing>
                <wp:inline distB="0" distT="0" distL="0" distR="0">
                  <wp:extent cx="114300" cy="114300"/>
                  <wp:effectExtent b="0" l="0" r="0" t="0"/>
                  <wp:docPr descr="MCWB01114_0000[1]" id="33" name="image1.png"/>
                  <a:graphic>
                    <a:graphicData uri="http://schemas.openxmlformats.org/drawingml/2006/picture">
                      <pic:pic>
                        <pic:nvPicPr>
                          <pic:cNvPr descr="MCWB01114_0000[1]"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SS, 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QE6</w:t>
            </w:r>
          </w:p>
        </w:tc>
        <w:tc>
          <w:tcPr/>
          <w:p w:rsidR="00000000" w:rsidDel="00000000" w:rsidP="00000000" w:rsidRDefault="00000000" w:rsidRPr="00000000" w14:paraId="00000045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Experience of conducting training / leading INSET</w:t>
            </w:r>
          </w:p>
        </w:tc>
        <w:tc>
          <w:tcPr/>
          <w:p w:rsidR="00000000" w:rsidDel="00000000" w:rsidP="00000000" w:rsidRDefault="00000000" w:rsidRPr="00000000" w14:paraId="00000046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</w:rPr>
              <w:drawing>
                <wp:inline distB="0" distT="0" distL="0" distR="0">
                  <wp:extent cx="114300" cy="114300"/>
                  <wp:effectExtent b="0" l="0" r="0" t="0"/>
                  <wp:docPr descr="MCWB01114_0000[1]" id="34" name="image1.png"/>
                  <a:graphic>
                    <a:graphicData uri="http://schemas.openxmlformats.org/drawingml/2006/picture">
                      <pic:pic>
                        <pic:nvPicPr>
                          <pic:cNvPr descr="MCWB01114_0000[1]"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SS. I</w:t>
            </w:r>
          </w:p>
        </w:tc>
      </w:tr>
    </w:tbl>
    <w:p w:rsidR="00000000" w:rsidDel="00000000" w:rsidP="00000000" w:rsidRDefault="00000000" w:rsidRPr="00000000" w14:paraId="00000049">
      <w:pPr>
        <w:rPr>
          <w:rFonts w:ascii="Century Gothic" w:cs="Century Gothic" w:eastAsia="Century Gothic" w:hAnsi="Century Gothic"/>
          <w:sz w:val="22"/>
          <w:szCs w:val="22"/>
        </w:rPr>
        <w:sectPr>
          <w:headerReference r:id="rId8" w:type="default"/>
          <w:headerReference r:id="rId9" w:type="first"/>
          <w:headerReference r:id="rId10" w:type="even"/>
          <w:footerReference r:id="rId11" w:type="default"/>
          <w:footerReference r:id="rId12" w:type="first"/>
          <w:footerReference r:id="rId13" w:type="even"/>
          <w:pgSz w:h="16838" w:w="11906" w:orient="portrait"/>
          <w:pgMar w:bottom="720" w:top="720" w:left="720" w:right="720" w:header="708" w:footer="708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entury Gothic" w:cs="Century Gothic" w:eastAsia="Century Gothic" w:hAnsi="Century Gothic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772.0" w:type="dxa"/>
        <w:jc w:val="left"/>
        <w:tblInd w:w="-13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38"/>
        <w:gridCol w:w="5387"/>
        <w:gridCol w:w="16"/>
        <w:gridCol w:w="1259"/>
        <w:gridCol w:w="16"/>
        <w:gridCol w:w="1260"/>
        <w:gridCol w:w="16"/>
        <w:gridCol w:w="1969"/>
        <w:gridCol w:w="11"/>
        <w:tblGridChange w:id="0">
          <w:tblGrid>
            <w:gridCol w:w="838"/>
            <w:gridCol w:w="5387"/>
            <w:gridCol w:w="16"/>
            <w:gridCol w:w="1259"/>
            <w:gridCol w:w="16"/>
            <w:gridCol w:w="1260"/>
            <w:gridCol w:w="16"/>
            <w:gridCol w:w="1969"/>
            <w:gridCol w:w="11"/>
          </w:tblGrid>
        </w:tblGridChange>
      </w:tblGrid>
      <w:tr>
        <w:trPr>
          <w:cantSplit w:val="0"/>
          <w:trHeight w:val="936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4B">
            <w:pPr>
              <w:rPr>
                <w:rFonts w:ascii="Century Gothic" w:cs="Century Gothic" w:eastAsia="Century Gothic" w:hAnsi="Century Gothic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rPr>
                <w:rFonts w:ascii="Century Gothic" w:cs="Century Gothic" w:eastAsia="Century Gothic" w:hAnsi="Century Gothic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2"/>
                <w:szCs w:val="22"/>
                <w:rtl w:val="0"/>
              </w:rPr>
              <w:t xml:space="preserve">S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4D">
            <w:pPr>
              <w:rPr>
                <w:rFonts w:ascii="Century Gothic" w:cs="Century Gothic" w:eastAsia="Century Gothic" w:hAnsi="Century Gothic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rPr>
                <w:rFonts w:ascii="Century Gothic" w:cs="Century Gothic" w:eastAsia="Century Gothic" w:hAnsi="Century Gothic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2"/>
                <w:szCs w:val="22"/>
                <w:rtl w:val="0"/>
              </w:rPr>
              <w:t xml:space="preserve">Knowledge and Skills</w:t>
            </w:r>
          </w:p>
        </w:tc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04F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051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053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5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S1</w:t>
            </w:r>
          </w:p>
        </w:tc>
        <w:tc>
          <w:tcPr/>
          <w:p w:rsidR="00000000" w:rsidDel="00000000" w:rsidP="00000000" w:rsidRDefault="00000000" w:rsidRPr="00000000" w14:paraId="00000057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spacing w:after="60" w:lineRule="auto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Sound knowledge of the SEND Code of Practice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9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22"/>
                <w:szCs w:val="22"/>
              </w:rPr>
              <w:drawing>
                <wp:inline distB="0" distT="0" distL="0" distR="0">
                  <wp:extent cx="114300" cy="114300"/>
                  <wp:effectExtent b="0" l="0" r="0" t="0"/>
                  <wp:docPr descr="MCWB01114_0000[1]" id="36" name="image1.png"/>
                  <a:graphic>
                    <a:graphicData uri="http://schemas.openxmlformats.org/drawingml/2006/picture">
                      <pic:pic>
                        <pic:nvPicPr>
                          <pic:cNvPr descr="MCWB01114_0000[1]"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C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E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SS, I</w:t>
            </w:r>
          </w:p>
          <w:p w:rsidR="00000000" w:rsidDel="00000000" w:rsidP="00000000" w:rsidRDefault="00000000" w:rsidRPr="00000000" w14:paraId="00000060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2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S2</w:t>
            </w:r>
          </w:p>
        </w:tc>
        <w:tc>
          <w:tcPr/>
          <w:p w:rsidR="00000000" w:rsidDel="00000000" w:rsidP="00000000" w:rsidRDefault="00000000" w:rsidRPr="00000000" w14:paraId="00000063">
            <w:pPr>
              <w:spacing w:after="60" w:lineRule="auto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Understanding of what makes ‘quality first’ teaching, and of effective intervention strategies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4">
            <w:pPr>
              <w:rPr>
                <w:rFonts w:ascii="Century Gothic" w:cs="Century Gothic" w:eastAsia="Century Gothic" w:hAnsi="Century Gothic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22"/>
                <w:szCs w:val="22"/>
              </w:rPr>
              <w:drawing>
                <wp:inline distB="0" distT="0" distL="0" distR="0">
                  <wp:extent cx="114300" cy="114300"/>
                  <wp:effectExtent b="0" l="0" r="0" t="0"/>
                  <wp:docPr descr="MCWB01114_0000[1]" id="35" name="image1.png"/>
                  <a:graphic>
                    <a:graphicData uri="http://schemas.openxmlformats.org/drawingml/2006/picture">
                      <pic:pic>
                        <pic:nvPicPr>
                          <pic:cNvPr descr="MCWB01114_0000[1]"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6">
            <w:pPr>
              <w:rPr>
                <w:rFonts w:ascii="Century Gothic" w:cs="Century Gothic" w:eastAsia="Century Gothic" w:hAnsi="Century Gothic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8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SS, 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A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S3</w:t>
            </w:r>
          </w:p>
        </w:tc>
        <w:tc>
          <w:tcPr/>
          <w:p w:rsidR="00000000" w:rsidDel="00000000" w:rsidP="00000000" w:rsidRDefault="00000000" w:rsidRPr="00000000" w14:paraId="0000006B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To have an up to date understanding on national policy, curriculum developments and statutory legal frameworks within which schools operate.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C">
            <w:pPr>
              <w:rPr>
                <w:rFonts w:ascii="Century Gothic" w:cs="Century Gothic" w:eastAsia="Century Gothic" w:hAnsi="Century Gothic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rPr>
                <w:rFonts w:ascii="Century Gothic" w:cs="Century Gothic" w:eastAsia="Century Gothic" w:hAnsi="Century Gothic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22"/>
                <w:szCs w:val="22"/>
              </w:rPr>
              <w:drawing>
                <wp:inline distB="0" distT="0" distL="0" distR="0">
                  <wp:extent cx="114300" cy="114300"/>
                  <wp:effectExtent b="0" l="0" r="0" t="0"/>
                  <wp:docPr descr="MCWB01114_0000[1]" id="38" name="image1.png"/>
                  <a:graphic>
                    <a:graphicData uri="http://schemas.openxmlformats.org/drawingml/2006/picture">
                      <pic:pic>
                        <pic:nvPicPr>
                          <pic:cNvPr descr="MCWB01114_0000[1]"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F">
            <w:pPr>
              <w:rPr>
                <w:rFonts w:ascii="Century Gothic" w:cs="Century Gothic" w:eastAsia="Century Gothic" w:hAnsi="Century Gothic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1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SS,I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4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S4</w:t>
            </w:r>
          </w:p>
        </w:tc>
        <w:tc>
          <w:tcPr/>
          <w:p w:rsidR="00000000" w:rsidDel="00000000" w:rsidP="00000000" w:rsidRDefault="00000000" w:rsidRPr="00000000" w14:paraId="00000076">
            <w:pPr>
              <w:spacing w:after="60" w:lineRule="auto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The ability to plan and evaluate interventions</w:t>
            </w:r>
          </w:p>
          <w:p w:rsidR="00000000" w:rsidDel="00000000" w:rsidP="00000000" w:rsidRDefault="00000000" w:rsidRPr="00000000" w14:paraId="00000077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8">
            <w:pPr>
              <w:rPr>
                <w:rFonts w:ascii="Century Gothic" w:cs="Century Gothic" w:eastAsia="Century Gothic" w:hAnsi="Century Gothic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22"/>
                <w:szCs w:val="22"/>
              </w:rPr>
              <w:drawing>
                <wp:inline distB="0" distT="0" distL="0" distR="0">
                  <wp:extent cx="114300" cy="114300"/>
                  <wp:effectExtent b="0" l="0" r="0" t="0"/>
                  <wp:docPr descr="MCWB01114_0000[1]" id="37" name="image1.png"/>
                  <a:graphic>
                    <a:graphicData uri="http://schemas.openxmlformats.org/drawingml/2006/picture">
                      <pic:pic>
                        <pic:nvPicPr>
                          <pic:cNvPr descr="MCWB01114_0000[1]"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B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D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SS,I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0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S5</w:t>
            </w:r>
          </w:p>
        </w:tc>
        <w:tc>
          <w:tcPr/>
          <w:p w:rsidR="00000000" w:rsidDel="00000000" w:rsidP="00000000" w:rsidRDefault="00000000" w:rsidRPr="00000000" w14:paraId="00000082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Able to manage resources and budgets effectively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3">
            <w:pPr>
              <w:rPr>
                <w:rFonts w:ascii="Century Gothic" w:cs="Century Gothic" w:eastAsia="Century Gothic" w:hAnsi="Century Gothic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rPr>
                <w:rFonts w:ascii="Century Gothic" w:cs="Century Gothic" w:eastAsia="Century Gothic" w:hAnsi="Century Gothic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ff0000"/>
                <w:sz w:val="22"/>
                <w:szCs w:val="22"/>
              </w:rPr>
              <w:drawing>
                <wp:inline distB="0" distT="0" distL="0" distR="0">
                  <wp:extent cx="114300" cy="114300"/>
                  <wp:effectExtent b="0" l="0" r="0" t="0"/>
                  <wp:docPr descr="MCWB01114_0000[1]" id="41" name="image1.png"/>
                  <a:graphic>
                    <a:graphicData uri="http://schemas.openxmlformats.org/drawingml/2006/picture">
                      <pic:pic>
                        <pic:nvPicPr>
                          <pic:cNvPr descr="MCWB01114_0000[1]"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6">
            <w:pPr>
              <w:rPr>
                <w:rFonts w:ascii="Century Gothic" w:cs="Century Gothic" w:eastAsia="Century Gothic" w:hAnsi="Century Gothic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8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SS, 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B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S6</w:t>
            </w:r>
          </w:p>
        </w:tc>
        <w:tc>
          <w:tcPr/>
          <w:p w:rsidR="00000000" w:rsidDel="00000000" w:rsidP="00000000" w:rsidRDefault="00000000" w:rsidRPr="00000000" w14:paraId="0000008D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Data analysis and the ability to use data to inform provision panning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E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22"/>
                <w:szCs w:val="22"/>
              </w:rPr>
              <w:drawing>
                <wp:inline distB="0" distT="0" distL="0" distR="0">
                  <wp:extent cx="114300" cy="114300"/>
                  <wp:effectExtent b="0" l="0" r="0" t="0"/>
                  <wp:docPr descr="MCWB01114_0000[1]" id="39" name="image1.png"/>
                  <a:graphic>
                    <a:graphicData uri="http://schemas.openxmlformats.org/drawingml/2006/picture">
                      <pic:pic>
                        <pic:nvPicPr>
                          <pic:cNvPr descr="MCWB01114_0000[1]"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91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93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SS, 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6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S7</w:t>
            </w:r>
          </w:p>
        </w:tc>
        <w:tc>
          <w:tcPr/>
          <w:p w:rsidR="00000000" w:rsidDel="00000000" w:rsidP="00000000" w:rsidRDefault="00000000" w:rsidRPr="00000000" w14:paraId="00000098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Proven ability to set targets and, through systematic monitoring, review and evaluation, to see these targets achieved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99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22"/>
                <w:szCs w:val="22"/>
              </w:rPr>
              <w:drawing>
                <wp:inline distB="0" distT="0" distL="0" distR="0">
                  <wp:extent cx="114300" cy="114300"/>
                  <wp:effectExtent b="0" l="0" r="0" t="0"/>
                  <wp:docPr descr="MCWB01114_0000[1]" id="40" name="image1.png"/>
                  <a:graphic>
                    <a:graphicData uri="http://schemas.openxmlformats.org/drawingml/2006/picture">
                      <pic:pic>
                        <pic:nvPicPr>
                          <pic:cNvPr descr="MCWB01114_0000[1]"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9C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9E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SS, 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1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S8</w:t>
            </w:r>
          </w:p>
        </w:tc>
        <w:tc>
          <w:tcPr/>
          <w:p w:rsidR="00000000" w:rsidDel="00000000" w:rsidP="00000000" w:rsidRDefault="00000000" w:rsidRPr="00000000" w14:paraId="000000A3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Proven ability to lead and manage teams through effective planning, setting priorities, delegation and monitoring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A4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22"/>
                <w:szCs w:val="22"/>
              </w:rPr>
              <w:drawing>
                <wp:inline distB="0" distT="0" distL="0" distR="0">
                  <wp:extent cx="114300" cy="114300"/>
                  <wp:effectExtent b="0" l="0" r="0" t="0"/>
                  <wp:docPr descr="MCWB01114_0000[1]" id="42" name="image1.png"/>
                  <a:graphic>
                    <a:graphicData uri="http://schemas.openxmlformats.org/drawingml/2006/picture">
                      <pic:pic>
                        <pic:nvPicPr>
                          <pic:cNvPr descr="MCWB01114_0000[1]"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A7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A9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SS, 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C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S9</w:t>
            </w:r>
          </w:p>
        </w:tc>
        <w:tc>
          <w:tcPr/>
          <w:p w:rsidR="00000000" w:rsidDel="00000000" w:rsidP="00000000" w:rsidRDefault="00000000" w:rsidRPr="00000000" w14:paraId="000000AE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Proven ability to demonstrate and recognise good classroom practice and set up systems within a faculty or school wide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AF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22"/>
                <w:szCs w:val="22"/>
              </w:rPr>
              <w:drawing>
                <wp:inline distB="0" distT="0" distL="0" distR="0">
                  <wp:extent cx="114300" cy="114300"/>
                  <wp:effectExtent b="0" l="0" r="0" t="0"/>
                  <wp:docPr descr="MCWB01114_0000[1]" id="43" name="image1.png"/>
                  <a:graphic>
                    <a:graphicData uri="http://schemas.openxmlformats.org/drawingml/2006/picture">
                      <pic:pic>
                        <pic:nvPicPr>
                          <pic:cNvPr descr="MCWB01114_0000[1]"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B2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B4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SS, 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7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S10</w:t>
            </w:r>
          </w:p>
        </w:tc>
        <w:tc>
          <w:tcPr/>
          <w:p w:rsidR="00000000" w:rsidDel="00000000" w:rsidP="00000000" w:rsidRDefault="00000000" w:rsidRPr="00000000" w14:paraId="000000B9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The ability to lead and motivate colleagues including performance management and continuous professional development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BA">
            <w:pPr>
              <w:rPr>
                <w:rFonts w:ascii="Century Gothic" w:cs="Century Gothic" w:eastAsia="Century Gothic" w:hAnsi="Century Gothic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22"/>
                <w:szCs w:val="22"/>
              </w:rPr>
              <w:drawing>
                <wp:inline distB="0" distT="0" distL="0" distR="0">
                  <wp:extent cx="114300" cy="114300"/>
                  <wp:effectExtent b="0" l="0" r="0" t="0"/>
                  <wp:docPr descr="MCWB01114_0000[1]" id="44" name="image1.png"/>
                  <a:graphic>
                    <a:graphicData uri="http://schemas.openxmlformats.org/drawingml/2006/picture">
                      <pic:pic>
                        <pic:nvPicPr>
                          <pic:cNvPr descr="MCWB01114_0000[1]"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BD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BF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SS, 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2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S11</w:t>
            </w:r>
          </w:p>
        </w:tc>
        <w:tc>
          <w:tcPr/>
          <w:p w:rsidR="00000000" w:rsidDel="00000000" w:rsidP="00000000" w:rsidRDefault="00000000" w:rsidRPr="00000000" w14:paraId="000000C4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The ability to drive performance whilst effectively challenge underperformance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C5">
            <w:pPr>
              <w:rPr>
                <w:rFonts w:ascii="Century Gothic" w:cs="Century Gothic" w:eastAsia="Century Gothic" w:hAnsi="Century Gothic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22"/>
                <w:szCs w:val="22"/>
              </w:rPr>
              <w:drawing>
                <wp:inline distB="0" distT="0" distL="0" distR="0">
                  <wp:extent cx="114300" cy="114300"/>
                  <wp:effectExtent b="0" l="0" r="0" t="0"/>
                  <wp:docPr descr="MCWB01114_0000[1]" id="45" name="image1.png"/>
                  <a:graphic>
                    <a:graphicData uri="http://schemas.openxmlformats.org/drawingml/2006/picture">
                      <pic:pic>
                        <pic:nvPicPr>
                          <pic:cNvPr descr="MCWB01114_0000[1]"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C7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C9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SS, 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C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S12</w:t>
            </w:r>
          </w:p>
        </w:tc>
        <w:tc>
          <w:tcPr/>
          <w:p w:rsidR="00000000" w:rsidDel="00000000" w:rsidP="00000000" w:rsidRDefault="00000000" w:rsidRPr="00000000" w14:paraId="000000CD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The ability to work in partnership with Governors, the LA, other schools and parents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CE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</w:rPr>
              <w:drawing>
                <wp:inline distB="0" distT="0" distL="0" distR="0">
                  <wp:extent cx="114300" cy="114300"/>
                  <wp:effectExtent b="0" l="0" r="0" t="0"/>
                  <wp:docPr descr="MCWB01114_0000[1]" id="25" name="image1.png"/>
                  <a:graphic>
                    <a:graphicData uri="http://schemas.openxmlformats.org/drawingml/2006/picture">
                      <pic:pic>
                        <pic:nvPicPr>
                          <pic:cNvPr descr="MCWB01114_0000[1]"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D0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D2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SS, 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5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S13</w:t>
            </w:r>
          </w:p>
          <w:p w:rsidR="00000000" w:rsidDel="00000000" w:rsidP="00000000" w:rsidRDefault="00000000" w:rsidRPr="00000000" w14:paraId="000000D7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8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High level use of ICT as a tool for teaching and Whole school Management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D9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22"/>
                <w:szCs w:val="22"/>
              </w:rPr>
              <w:drawing>
                <wp:inline distB="0" distT="0" distL="0" distR="0">
                  <wp:extent cx="114300" cy="114300"/>
                  <wp:effectExtent b="0" l="0" r="0" t="0"/>
                  <wp:docPr descr="MCWB01114_0000[1]" id="46" name="image1.png"/>
                  <a:graphic>
                    <a:graphicData uri="http://schemas.openxmlformats.org/drawingml/2006/picture">
                      <pic:pic>
                        <pic:nvPicPr>
                          <pic:cNvPr descr="MCWB01114_0000[1]"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DC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DF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SS, 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2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S14</w:t>
            </w:r>
          </w:p>
        </w:tc>
        <w:tc>
          <w:tcPr/>
          <w:p w:rsidR="00000000" w:rsidDel="00000000" w:rsidP="00000000" w:rsidRDefault="00000000" w:rsidRPr="00000000" w14:paraId="000000E3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Good personal time management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E4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22"/>
                <w:szCs w:val="22"/>
              </w:rPr>
              <w:drawing>
                <wp:inline distB="0" distT="0" distL="0" distR="0">
                  <wp:extent cx="114300" cy="114300"/>
                  <wp:effectExtent b="0" l="0" r="0" t="0"/>
                  <wp:docPr descr="MCWB01114_0000[1]" id="47" name="image1.png"/>
                  <a:graphic>
                    <a:graphicData uri="http://schemas.openxmlformats.org/drawingml/2006/picture">
                      <pic:pic>
                        <pic:nvPicPr>
                          <pic:cNvPr descr="MCWB01114_0000[1]"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E7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E9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SS, I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EC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rPr>
                <w:rFonts w:ascii="Century Gothic" w:cs="Century Gothic" w:eastAsia="Century Gothic" w:hAnsi="Century Gothic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2"/>
                <w:szCs w:val="22"/>
                <w:rtl w:val="0"/>
              </w:rPr>
              <w:t xml:space="preserve">C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EE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rPr>
                <w:rFonts w:ascii="Century Gothic" w:cs="Century Gothic" w:eastAsia="Century Gothic" w:hAnsi="Century Gothic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2"/>
                <w:szCs w:val="22"/>
                <w:rtl w:val="0"/>
              </w:rPr>
              <w:t xml:space="preserve">Commitment </w:t>
            </w:r>
          </w:p>
          <w:p w:rsidR="00000000" w:rsidDel="00000000" w:rsidP="00000000" w:rsidRDefault="00000000" w:rsidRPr="00000000" w14:paraId="000000F0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0F1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0F3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0F5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7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8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C1</w:t>
            </w:r>
          </w:p>
        </w:tc>
        <w:tc>
          <w:tcPr/>
          <w:p w:rsidR="00000000" w:rsidDel="00000000" w:rsidP="00000000" w:rsidRDefault="00000000" w:rsidRPr="00000000" w14:paraId="000000F9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To the principles of comprehensive and specialist education and the notion of the college as a community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FA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B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22"/>
                <w:szCs w:val="22"/>
              </w:rPr>
              <w:drawing>
                <wp:inline distB="0" distT="0" distL="0" distR="0">
                  <wp:extent cx="114300" cy="114300"/>
                  <wp:effectExtent b="0" l="0" r="0" t="0"/>
                  <wp:docPr descr="MCWB01114_0000[1]" id="48" name="image1.png"/>
                  <a:graphic>
                    <a:graphicData uri="http://schemas.openxmlformats.org/drawingml/2006/picture">
                      <pic:pic>
                        <pic:nvPicPr>
                          <pic:cNvPr descr="MCWB01114_0000[1]"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FD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FF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0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SS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2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3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C2</w:t>
            </w:r>
          </w:p>
        </w:tc>
        <w:tc>
          <w:tcPr/>
          <w:p w:rsidR="00000000" w:rsidDel="00000000" w:rsidP="00000000" w:rsidRDefault="00000000" w:rsidRPr="00000000" w14:paraId="00000104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Commitment to equal opportunities and securing good outcomes for pupils with SEMH, SEN or a disability.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05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6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22"/>
                <w:szCs w:val="22"/>
              </w:rPr>
              <w:drawing>
                <wp:inline distB="0" distT="0" distL="0" distR="0">
                  <wp:extent cx="114300" cy="114300"/>
                  <wp:effectExtent b="0" l="0" r="0" t="0"/>
                  <wp:docPr descr="MCWB01114_0000[1]" id="26" name="image1.png"/>
                  <a:graphic>
                    <a:graphicData uri="http://schemas.openxmlformats.org/drawingml/2006/picture">
                      <pic:pic>
                        <pic:nvPicPr>
                          <pic:cNvPr descr="MCWB01114_0000[1]"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08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0A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B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SS, I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10D">
            <w:pPr>
              <w:rPr>
                <w:rFonts w:ascii="Century Gothic" w:cs="Century Gothic" w:eastAsia="Century Gothic" w:hAnsi="Century Gothic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E">
            <w:pPr>
              <w:rPr>
                <w:rFonts w:ascii="Century Gothic" w:cs="Century Gothic" w:eastAsia="Century Gothic" w:hAnsi="Century Gothic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2"/>
                <w:szCs w:val="22"/>
                <w:rtl w:val="0"/>
              </w:rPr>
              <w:t xml:space="preserve">D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0F">
            <w:pPr>
              <w:rPr>
                <w:rFonts w:ascii="Century Gothic" w:cs="Century Gothic" w:eastAsia="Century Gothic" w:hAnsi="Century Gothic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0">
            <w:pPr>
              <w:rPr>
                <w:rFonts w:ascii="Century Gothic" w:cs="Century Gothic" w:eastAsia="Century Gothic" w:hAnsi="Century Gothic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2"/>
                <w:szCs w:val="22"/>
                <w:rtl w:val="0"/>
              </w:rPr>
              <w:t xml:space="preserve">Other Qualities</w:t>
            </w:r>
          </w:p>
          <w:p w:rsidR="00000000" w:rsidDel="00000000" w:rsidP="00000000" w:rsidRDefault="00000000" w:rsidRPr="00000000" w14:paraId="00000111">
            <w:pPr>
              <w:rPr>
                <w:rFonts w:ascii="Century Gothic" w:cs="Century Gothic" w:eastAsia="Century Gothic" w:hAnsi="Century Gothic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112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114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116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8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D1</w:t>
            </w:r>
          </w:p>
        </w:tc>
        <w:tc>
          <w:tcPr/>
          <w:p w:rsidR="00000000" w:rsidDel="00000000" w:rsidP="00000000" w:rsidRDefault="00000000" w:rsidRPr="00000000" w14:paraId="00000119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To be a visible member of SLT who leads by example and is  accessible, responsive and accountable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1A">
            <w:pPr>
              <w:rPr>
                <w:rFonts w:ascii="Century Gothic" w:cs="Century Gothic" w:eastAsia="Century Gothic" w:hAnsi="Century Gothic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22"/>
                <w:szCs w:val="22"/>
              </w:rPr>
              <w:drawing>
                <wp:inline distB="0" distT="0" distL="0" distR="0">
                  <wp:extent cx="114300" cy="114300"/>
                  <wp:effectExtent b="0" l="0" r="0" t="0"/>
                  <wp:docPr descr="MCWB01114_0000[1]" id="27" name="image1.png"/>
                  <a:graphic>
                    <a:graphicData uri="http://schemas.openxmlformats.org/drawingml/2006/picture">
                      <pic:pic>
                        <pic:nvPicPr>
                          <pic:cNvPr descr="MCWB01114_0000[1]"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B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1D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1F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0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I</w:t>
            </w:r>
          </w:p>
        </w:tc>
      </w:tr>
      <w:tr>
        <w:trPr>
          <w:cantSplit w:val="0"/>
          <w:trHeight w:val="855" w:hRule="atLeast"/>
          <w:tblHeader w:val="0"/>
        </w:trPr>
        <w:tc>
          <w:tcPr/>
          <w:p w:rsidR="00000000" w:rsidDel="00000000" w:rsidP="00000000" w:rsidRDefault="00000000" w:rsidRPr="00000000" w14:paraId="00000122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3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D2</w:t>
            </w:r>
          </w:p>
        </w:tc>
        <w:tc>
          <w:tcPr/>
          <w:p w:rsidR="00000000" w:rsidDel="00000000" w:rsidP="00000000" w:rsidRDefault="00000000" w:rsidRPr="00000000" w14:paraId="00000124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Proven positive attitude to the management of change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25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6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22"/>
                <w:szCs w:val="22"/>
              </w:rPr>
              <w:drawing>
                <wp:inline distB="0" distT="0" distL="0" distR="0">
                  <wp:extent cx="114300" cy="114300"/>
                  <wp:effectExtent b="0" l="0" r="0" t="0"/>
                  <wp:docPr descr="MCWB01114_0000[1]" id="28" name="image1.png"/>
                  <a:graphic>
                    <a:graphicData uri="http://schemas.openxmlformats.org/drawingml/2006/picture">
                      <pic:pic>
                        <pic:nvPicPr>
                          <pic:cNvPr descr="MCWB01114_0000[1]"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28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2A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B">
            <w:pPr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SS, I</w:t>
            </w:r>
          </w:p>
        </w:tc>
      </w:tr>
      <w:tr>
        <w:trPr>
          <w:cantSplit w:val="0"/>
          <w:trHeight w:val="580" w:hRule="atLeast"/>
          <w:tblHeader w:val="0"/>
        </w:trPr>
        <w:tc>
          <w:tcPr>
            <w:gridSpan w:val="9"/>
            <w:shd w:fill="e6e6e6" w:val="clear"/>
            <w:vAlign w:val="center"/>
          </w:tcPr>
          <w:p w:rsidR="00000000" w:rsidDel="00000000" w:rsidP="00000000" w:rsidRDefault="00000000" w:rsidRPr="00000000" w14:paraId="0000012D">
            <w:pPr>
              <w:rPr>
                <w:rFonts w:ascii="Century Gothic" w:cs="Century Gothic" w:eastAsia="Century Gothic" w:hAnsi="Century Gothic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2"/>
                <w:szCs w:val="22"/>
                <w:rtl w:val="0"/>
              </w:rPr>
              <w:t xml:space="preserve">Safeguarding and Confidentiality </w:t>
            </w:r>
          </w:p>
        </w:tc>
      </w:tr>
      <w:tr>
        <w:trPr>
          <w:cantSplit w:val="0"/>
          <w:trHeight w:val="580" w:hRule="atLeast"/>
          <w:tblHeader w:val="0"/>
        </w:trPr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1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Knowledge of best practice and procedures for safeguarding children and young people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139">
            <w:pPr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22"/>
                <w:szCs w:val="22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13B">
            <w:pPr>
              <w:ind w:right="25"/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13D">
            <w:pPr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SS</w:t>
            </w:r>
          </w:p>
        </w:tc>
      </w:tr>
      <w:tr>
        <w:trPr>
          <w:cantSplit w:val="0"/>
          <w:trHeight w:val="580" w:hRule="atLeast"/>
          <w:tblHeader w:val="0"/>
        </w:trPr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13F">
            <w:pPr>
              <w:ind w:right="25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Ability to demonstrate high levels of confidentiality and discretion.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142">
            <w:pPr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22"/>
                <w:szCs w:val="22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144">
            <w:pPr>
              <w:ind w:right="25"/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146">
            <w:pPr>
              <w:jc w:val="center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SS</w:t>
            </w:r>
          </w:p>
        </w:tc>
      </w:tr>
    </w:tbl>
    <w:p w:rsidR="00000000" w:rsidDel="00000000" w:rsidP="00000000" w:rsidRDefault="00000000" w:rsidRPr="00000000" w14:paraId="00000148">
      <w:pPr>
        <w:rPr>
          <w:rFonts w:ascii="Century Gothic" w:cs="Century Gothic" w:eastAsia="Century Gothic" w:hAnsi="Century Gothic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9">
      <w:pPr>
        <w:rPr>
          <w:rFonts w:ascii="Century Gothic" w:cs="Century Gothic" w:eastAsia="Century Gothic" w:hAnsi="Century Gothic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14" w:type="default"/>
      <w:type w:val="continuous"/>
      <w:pgSz w:h="16838" w:w="11906" w:orient="portrait"/>
      <w:pgMar w:bottom="720" w:top="720" w:left="720" w:right="720" w:header="708" w:footer="70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Wingdings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5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5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5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4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4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3"/>
      <w:tblW w:w="10995.0" w:type="dxa"/>
      <w:jc w:val="left"/>
      <w:tblInd w:w="-115.0" w:type="dxa"/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</w:tblBorders>
      <w:tblLayout w:type="fixed"/>
      <w:tblLook w:val="0400"/>
    </w:tblPr>
    <w:tblGrid>
      <w:gridCol w:w="2220"/>
      <w:gridCol w:w="8775"/>
      <w:tblGridChange w:id="0">
        <w:tblGrid>
          <w:gridCol w:w="2220"/>
          <w:gridCol w:w="8775"/>
        </w:tblGrid>
      </w:tblGridChange>
    </w:tblGrid>
    <w:tr>
      <w:trPr>
        <w:cantSplit w:val="0"/>
        <w:trHeight w:val="2140.107421875" w:hRule="atLeast"/>
        <w:tblHeader w:val="0"/>
      </w:trPr>
      <w:tc>
        <w:tcPr>
          <w:shd w:fill="auto" w:val="clear"/>
          <w:vAlign w:val="center"/>
        </w:tcPr>
        <w:p w:rsidR="00000000" w:rsidDel="00000000" w:rsidP="00000000" w:rsidRDefault="00000000" w:rsidRPr="00000000" w14:paraId="0000014C">
          <w:pPr>
            <w:ind w:right="119"/>
            <w:rPr>
              <w:rFonts w:ascii="Century Gothic" w:cs="Century Gothic" w:eastAsia="Century Gothic" w:hAnsi="Century Gothic"/>
              <w:b w:val="1"/>
              <w:bCs w:val="1"/>
              <w:sz w:val="52"/>
              <w:szCs w:val="52"/>
            </w:rPr>
          </w:pPr>
          <w:r w:rsidDel="00000000" w:rsidR="00000000" w:rsidRPr="00000000">
            <w:rPr>
              <w:rFonts w:ascii="Century Gothic" w:cs="Century Gothic" w:eastAsia="Century Gothic" w:hAnsi="Century Gothic"/>
              <w:b w:val="1"/>
              <w:bCs w:val="1"/>
              <w:color w:val="ff0000"/>
              <w:sz w:val="52"/>
              <w:szCs w:val="52"/>
              <w:rtl w:val="0"/>
            </w:rPr>
            <w:t xml:space="preserve"> </w:t>
          </w: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</w:tcPr>
        <w:p w:rsidR="00000000" w:rsidDel="00000000" w:rsidP="00000000" w:rsidRDefault="00000000" w:rsidRPr="00000000" w14:paraId="0000014D">
          <w:pPr>
            <w:spacing w:before="180" w:line="440" w:lineRule="auto"/>
            <w:ind w:right="119"/>
            <w:rPr>
              <w:rFonts w:ascii="Century Gothic" w:cs="Century Gothic" w:eastAsia="Century Gothic" w:hAnsi="Century Gothic"/>
              <w:b w:val="1"/>
              <w:bCs w:val="1"/>
              <w:sz w:val="36"/>
              <w:szCs w:val="36"/>
            </w:rPr>
          </w:pPr>
          <w:r w:rsidDel="00000000" w:rsidR="00000000" w:rsidRPr="00000000">
            <w:rPr>
              <w:rFonts w:ascii="Century Gothic" w:cs="Century Gothic" w:eastAsia="Century Gothic" w:hAnsi="Century Gothic"/>
              <w:b w:val="1"/>
              <w:bCs w:val="1"/>
              <w:sz w:val="36"/>
              <w:szCs w:val="36"/>
              <w:rtl w:val="0"/>
            </w:rPr>
            <w:t xml:space="preserve">Person Specification </w:t>
          </w:r>
        </w:p>
        <w:p w:rsidR="00000000" w:rsidDel="00000000" w:rsidP="00000000" w:rsidRDefault="00000000" w:rsidRPr="00000000" w14:paraId="0000014E">
          <w:pPr>
            <w:spacing w:before="180" w:line="440" w:lineRule="auto"/>
            <w:ind w:right="119"/>
            <w:rPr>
              <w:rFonts w:ascii="Century Gothic" w:cs="Century Gothic" w:eastAsia="Century Gothic" w:hAnsi="Century Gothic"/>
              <w:i w:val="1"/>
              <w:iCs w:val="1"/>
              <w:sz w:val="52"/>
              <w:szCs w:val="52"/>
            </w:rPr>
          </w:pPr>
          <w:r w:rsidDel="00000000" w:rsidR="00000000" w:rsidRPr="00000000">
            <w:rPr>
              <w:rFonts w:ascii="Century Gothic" w:cs="Century Gothic" w:eastAsia="Century Gothic" w:hAnsi="Century Gothic"/>
              <w:b w:val="1"/>
              <w:bCs w:val="1"/>
              <w:sz w:val="36"/>
              <w:szCs w:val="36"/>
              <w:rtl w:val="0"/>
            </w:rPr>
            <w:t xml:space="preserve">Assistant Headteacher Inclusion / SENDCO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14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5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5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en_GB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rsid w:val="0030115B"/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Header">
    <w:name w:val="header"/>
    <w:basedOn w:val="Normal"/>
    <w:link w:val="HeaderChar"/>
    <w:rsid w:val="006C4DB2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rsid w:val="006C4DB2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rsid w:val="006C4DB2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rsid w:val="006C4DB2"/>
    <w:rPr>
      <w:rFonts w:ascii="Arial" w:hAnsi="Arial"/>
      <w:sz w:val="24"/>
      <w:szCs w:val="24"/>
    </w:rPr>
  </w:style>
  <w:style w:type="paragraph" w:styleId="ListParagraph">
    <w:name w:val="List Paragraph"/>
    <w:basedOn w:val="Normal"/>
    <w:uiPriority w:val="34"/>
    <w:qFormat w:val="1"/>
    <w:rsid w:val="001F656C"/>
    <w:pPr>
      <w:spacing w:after="200" w:line="276" w:lineRule="auto"/>
      <w:ind w:left="720"/>
      <w:contextualSpacing w:val="1"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rsid w:val="00237A97"/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rsid w:val="00237A97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2.xml"/><Relationship Id="rId10" Type="http://schemas.openxmlformats.org/officeDocument/2006/relationships/header" Target="header1.xml"/><Relationship Id="rId13" Type="http://schemas.openxmlformats.org/officeDocument/2006/relationships/footer" Target="footer1.xml"/><Relationship Id="rId12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14" Type="http://schemas.openxmlformats.org/officeDocument/2006/relationships/header" Target="header4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jADXGpfn0iahnxPrqsk12fa2Ew==">CgMxLjA4AHIhMWJJaGw3NXJ1bEc4RXA5WFR2LS0tQzdFazV3Q2taU3JD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2020-11-12T15:05:00Z</dcterms:created>
  <dc:creator>Jean</dc:creator>
</cp:coreProperties>
</file>