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883D" w14:textId="77777777" w:rsidR="002B6102" w:rsidRDefault="004805A1">
      <w:pPr>
        <w:spacing w:after="115" w:line="259" w:lineRule="auto"/>
        <w:ind w:left="0" w:right="3" w:firstLine="0"/>
        <w:jc w:val="center"/>
      </w:pPr>
      <w:r>
        <w:t xml:space="preserve"> </w:t>
      </w:r>
    </w:p>
    <w:p w14:paraId="2DEE5F68" w14:textId="77777777" w:rsidR="002B6102" w:rsidRDefault="004805A1">
      <w:pPr>
        <w:spacing w:after="100" w:line="259" w:lineRule="auto"/>
        <w:ind w:left="0" w:firstLine="0"/>
        <w:jc w:val="right"/>
      </w:pPr>
      <w:r>
        <w:rPr>
          <w:noProof/>
        </w:rPr>
        <w:drawing>
          <wp:inline distT="0" distB="0" distL="0" distR="0" wp14:anchorId="44740A8B" wp14:editId="32C55A27">
            <wp:extent cx="2504440" cy="1419225"/>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5"/>
                    <a:stretch>
                      <a:fillRect/>
                    </a:stretch>
                  </pic:blipFill>
                  <pic:spPr>
                    <a:xfrm>
                      <a:off x="0" y="0"/>
                      <a:ext cx="2504440" cy="1419225"/>
                    </a:xfrm>
                    <a:prstGeom prst="rect">
                      <a:avLst/>
                    </a:prstGeom>
                  </pic:spPr>
                </pic:pic>
              </a:graphicData>
            </a:graphic>
          </wp:inline>
        </w:drawing>
      </w:r>
      <w:r>
        <w:t xml:space="preserve"> </w:t>
      </w:r>
    </w:p>
    <w:p w14:paraId="2CCEEB0E" w14:textId="77777777" w:rsidR="002B6102" w:rsidRDefault="004805A1">
      <w:pPr>
        <w:spacing w:after="0" w:line="259" w:lineRule="auto"/>
        <w:ind w:left="0" w:right="3" w:firstLine="0"/>
        <w:jc w:val="center"/>
      </w:pPr>
      <w:r>
        <w:t xml:space="preserve"> </w:t>
      </w:r>
    </w:p>
    <w:tbl>
      <w:tblPr>
        <w:tblStyle w:val="TableGrid"/>
        <w:tblW w:w="9503" w:type="dxa"/>
        <w:tblInd w:w="0" w:type="dxa"/>
        <w:tblCellMar>
          <w:top w:w="77" w:type="dxa"/>
          <w:left w:w="108" w:type="dxa"/>
          <w:bottom w:w="0" w:type="dxa"/>
          <w:right w:w="115" w:type="dxa"/>
        </w:tblCellMar>
        <w:tblLook w:val="04A0" w:firstRow="1" w:lastRow="0" w:firstColumn="1" w:lastColumn="0" w:noHBand="0" w:noVBand="1"/>
      </w:tblPr>
      <w:tblGrid>
        <w:gridCol w:w="2840"/>
        <w:gridCol w:w="6663"/>
      </w:tblGrid>
      <w:tr w:rsidR="002B6102" w14:paraId="03B58C3B" w14:textId="77777777">
        <w:trPr>
          <w:trHeight w:val="521"/>
        </w:trPr>
        <w:tc>
          <w:tcPr>
            <w:tcW w:w="2840" w:type="dxa"/>
            <w:tcBorders>
              <w:top w:val="single" w:sz="4" w:space="0" w:color="000000"/>
              <w:left w:val="single" w:sz="4" w:space="0" w:color="000000"/>
              <w:bottom w:val="single" w:sz="4" w:space="0" w:color="000000"/>
              <w:right w:val="single" w:sz="4" w:space="0" w:color="000000"/>
            </w:tcBorders>
          </w:tcPr>
          <w:p w14:paraId="191C3C80" w14:textId="77777777" w:rsidR="002B6102" w:rsidRPr="00E77D0F" w:rsidRDefault="004805A1">
            <w:pPr>
              <w:spacing w:after="0" w:line="259" w:lineRule="auto"/>
              <w:ind w:left="0" w:firstLine="0"/>
              <w:rPr>
                <w:sz w:val="28"/>
                <w:szCs w:val="32"/>
              </w:rPr>
            </w:pPr>
            <w:r w:rsidRPr="00E77D0F">
              <w:rPr>
                <w:sz w:val="28"/>
                <w:szCs w:val="32"/>
              </w:rPr>
              <w:t xml:space="preserve">Job title: </w:t>
            </w:r>
          </w:p>
        </w:tc>
        <w:tc>
          <w:tcPr>
            <w:tcW w:w="6663" w:type="dxa"/>
            <w:tcBorders>
              <w:top w:val="single" w:sz="4" w:space="0" w:color="000000"/>
              <w:left w:val="single" w:sz="4" w:space="0" w:color="000000"/>
              <w:bottom w:val="single" w:sz="4" w:space="0" w:color="000000"/>
              <w:right w:val="single" w:sz="4" w:space="0" w:color="000000"/>
            </w:tcBorders>
          </w:tcPr>
          <w:p w14:paraId="6B49A7C1" w14:textId="77777777" w:rsidR="002B6102" w:rsidRPr="00E77D0F" w:rsidRDefault="004805A1">
            <w:pPr>
              <w:spacing w:after="0" w:line="259" w:lineRule="auto"/>
              <w:ind w:left="0" w:firstLine="0"/>
              <w:rPr>
                <w:sz w:val="28"/>
                <w:szCs w:val="32"/>
              </w:rPr>
            </w:pPr>
            <w:r w:rsidRPr="00E77D0F">
              <w:rPr>
                <w:b/>
                <w:sz w:val="28"/>
                <w:szCs w:val="32"/>
              </w:rPr>
              <w:t xml:space="preserve">Nursery Manager </w:t>
            </w:r>
          </w:p>
        </w:tc>
      </w:tr>
      <w:tr w:rsidR="002B6102" w14:paraId="50DB8410" w14:textId="77777777">
        <w:trPr>
          <w:trHeight w:val="521"/>
        </w:trPr>
        <w:tc>
          <w:tcPr>
            <w:tcW w:w="2840" w:type="dxa"/>
            <w:tcBorders>
              <w:top w:val="single" w:sz="4" w:space="0" w:color="000000"/>
              <w:left w:val="single" w:sz="4" w:space="0" w:color="000000"/>
              <w:bottom w:val="single" w:sz="4" w:space="0" w:color="000000"/>
              <w:right w:val="single" w:sz="4" w:space="0" w:color="000000"/>
            </w:tcBorders>
          </w:tcPr>
          <w:p w14:paraId="66D16350" w14:textId="77777777" w:rsidR="002B6102" w:rsidRPr="00E77D0F" w:rsidRDefault="004805A1">
            <w:pPr>
              <w:spacing w:after="0" w:line="259" w:lineRule="auto"/>
              <w:ind w:left="0" w:firstLine="0"/>
              <w:rPr>
                <w:sz w:val="28"/>
                <w:szCs w:val="32"/>
              </w:rPr>
            </w:pPr>
            <w:r w:rsidRPr="00E77D0F">
              <w:rPr>
                <w:sz w:val="28"/>
                <w:szCs w:val="32"/>
              </w:rPr>
              <w:t xml:space="preserve">Hours of work: </w:t>
            </w:r>
          </w:p>
        </w:tc>
        <w:tc>
          <w:tcPr>
            <w:tcW w:w="6663" w:type="dxa"/>
            <w:tcBorders>
              <w:top w:val="single" w:sz="4" w:space="0" w:color="000000"/>
              <w:left w:val="single" w:sz="4" w:space="0" w:color="000000"/>
              <w:bottom w:val="single" w:sz="4" w:space="0" w:color="000000"/>
              <w:right w:val="single" w:sz="4" w:space="0" w:color="000000"/>
            </w:tcBorders>
          </w:tcPr>
          <w:p w14:paraId="09DBD087" w14:textId="77777777" w:rsidR="002B6102" w:rsidRPr="00E77D0F" w:rsidRDefault="004805A1">
            <w:pPr>
              <w:spacing w:after="0" w:line="259" w:lineRule="auto"/>
              <w:ind w:left="0" w:firstLine="0"/>
              <w:rPr>
                <w:sz w:val="28"/>
                <w:szCs w:val="32"/>
              </w:rPr>
            </w:pPr>
            <w:r w:rsidRPr="00E77D0F">
              <w:rPr>
                <w:b/>
                <w:sz w:val="28"/>
                <w:szCs w:val="32"/>
              </w:rPr>
              <w:t xml:space="preserve">Please see advert </w:t>
            </w:r>
          </w:p>
        </w:tc>
      </w:tr>
      <w:tr w:rsidR="002B6102" w14:paraId="5CFCCB33" w14:textId="77777777">
        <w:trPr>
          <w:trHeight w:val="519"/>
        </w:trPr>
        <w:tc>
          <w:tcPr>
            <w:tcW w:w="2840" w:type="dxa"/>
            <w:tcBorders>
              <w:top w:val="single" w:sz="4" w:space="0" w:color="000000"/>
              <w:left w:val="single" w:sz="4" w:space="0" w:color="000000"/>
              <w:bottom w:val="single" w:sz="4" w:space="0" w:color="000000"/>
              <w:right w:val="single" w:sz="4" w:space="0" w:color="000000"/>
            </w:tcBorders>
          </w:tcPr>
          <w:p w14:paraId="10663C6C" w14:textId="77777777" w:rsidR="002B6102" w:rsidRPr="00E77D0F" w:rsidRDefault="004805A1">
            <w:pPr>
              <w:spacing w:after="0" w:line="259" w:lineRule="auto"/>
              <w:ind w:left="0" w:firstLine="0"/>
              <w:rPr>
                <w:sz w:val="28"/>
                <w:szCs w:val="32"/>
              </w:rPr>
            </w:pPr>
            <w:r w:rsidRPr="00E77D0F">
              <w:rPr>
                <w:sz w:val="28"/>
                <w:szCs w:val="32"/>
              </w:rPr>
              <w:t xml:space="preserve">Salary: </w:t>
            </w:r>
          </w:p>
        </w:tc>
        <w:tc>
          <w:tcPr>
            <w:tcW w:w="6663" w:type="dxa"/>
            <w:tcBorders>
              <w:top w:val="single" w:sz="4" w:space="0" w:color="000000"/>
              <w:left w:val="single" w:sz="4" w:space="0" w:color="000000"/>
              <w:bottom w:val="single" w:sz="4" w:space="0" w:color="000000"/>
              <w:right w:val="single" w:sz="4" w:space="0" w:color="000000"/>
            </w:tcBorders>
          </w:tcPr>
          <w:p w14:paraId="3D28B036" w14:textId="77777777" w:rsidR="002B6102" w:rsidRPr="00E77D0F" w:rsidRDefault="004805A1">
            <w:pPr>
              <w:spacing w:after="0" w:line="259" w:lineRule="auto"/>
              <w:ind w:left="0" w:firstLine="0"/>
              <w:rPr>
                <w:sz w:val="28"/>
                <w:szCs w:val="32"/>
              </w:rPr>
            </w:pPr>
            <w:r w:rsidRPr="00E77D0F">
              <w:rPr>
                <w:b/>
                <w:sz w:val="28"/>
                <w:szCs w:val="32"/>
              </w:rPr>
              <w:t xml:space="preserve">Grade 7 </w:t>
            </w:r>
          </w:p>
        </w:tc>
      </w:tr>
    </w:tbl>
    <w:p w14:paraId="690C5D95" w14:textId="77777777" w:rsidR="002B6102" w:rsidRDefault="004805A1">
      <w:pPr>
        <w:spacing w:after="160" w:line="259" w:lineRule="auto"/>
        <w:ind w:left="0" w:firstLine="0"/>
      </w:pPr>
      <w:r>
        <w:t xml:space="preserve"> </w:t>
      </w:r>
    </w:p>
    <w:p w14:paraId="706C9E6A" w14:textId="77777777" w:rsidR="00224676" w:rsidRPr="00224676" w:rsidRDefault="00224676" w:rsidP="00224676">
      <w:pPr>
        <w:spacing w:after="160" w:line="278" w:lineRule="auto"/>
        <w:ind w:left="360" w:firstLine="0"/>
        <w:rPr>
          <w:rFonts w:eastAsiaTheme="minorHAnsi"/>
          <w:b/>
          <w:bCs/>
          <w:color w:val="auto"/>
          <w:sz w:val="24"/>
          <w:lang w:eastAsia="en-US"/>
        </w:rPr>
      </w:pPr>
      <w:r w:rsidRPr="00224676">
        <w:rPr>
          <w:rFonts w:eastAsiaTheme="minorHAnsi"/>
          <w:b/>
          <w:bCs/>
          <w:color w:val="auto"/>
          <w:sz w:val="24"/>
          <w:lang w:eastAsia="en-US"/>
        </w:rPr>
        <w:t>Main Activities</w:t>
      </w:r>
    </w:p>
    <w:p w14:paraId="120636F5" w14:textId="1ECA0B13"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 xml:space="preserve">To be responsible for the day-to-day running of the Nursery under the guidance of the </w:t>
      </w:r>
      <w:r w:rsidR="00E77D0F">
        <w:rPr>
          <w:rFonts w:eastAsiaTheme="minorHAnsi"/>
          <w:color w:val="auto"/>
          <w:szCs w:val="22"/>
          <w:lang w:eastAsia="en-US"/>
        </w:rPr>
        <w:t xml:space="preserve">Executive </w:t>
      </w:r>
      <w:r w:rsidRPr="00224676">
        <w:rPr>
          <w:rFonts w:eastAsiaTheme="minorHAnsi"/>
          <w:color w:val="auto"/>
          <w:szCs w:val="22"/>
          <w:lang w:eastAsia="en-US"/>
        </w:rPr>
        <w:t>Headteacher/Head of School.</w:t>
      </w:r>
    </w:p>
    <w:p w14:paraId="1376FE98"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take part in recruitment and to support a team of staff to meet statutory ratios and include contingency staffing where appropriate.</w:t>
      </w:r>
    </w:p>
    <w:p w14:paraId="5711B96D"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provide a child-centred environment where children are cared for in a safe, caring and stimulating way that ensures their individual needs are met within a group setting.</w:t>
      </w:r>
    </w:p>
    <w:p w14:paraId="5E036AE1"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follow the Trust's Equal Opportunities Policy in all aspects of the Nursery.</w:t>
      </w:r>
    </w:p>
    <w:p w14:paraId="4428233D"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maintain effective working relationships with partner agencies providing services within the Nursery.</w:t>
      </w:r>
    </w:p>
    <w:p w14:paraId="52DCAB68"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work with colleagues to deliver an effective curriculum which includes planning and assessment.</w:t>
      </w:r>
    </w:p>
    <w:p w14:paraId="76A8A339"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ensure the implementation of the EYFS curriculum for all children aged 2-5 years.</w:t>
      </w:r>
    </w:p>
    <w:p w14:paraId="3E8AB7DF"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 xml:space="preserve">To maintain procedures for regular review and assessment of each child's progress in partnership with parents linking to the </w:t>
      </w:r>
      <w:proofErr w:type="gramStart"/>
      <w:r w:rsidRPr="00224676">
        <w:rPr>
          <w:rFonts w:eastAsiaTheme="minorHAnsi"/>
          <w:color w:val="auto"/>
          <w:szCs w:val="22"/>
          <w:lang w:eastAsia="en-US"/>
        </w:rPr>
        <w:t>School</w:t>
      </w:r>
      <w:proofErr w:type="gramEnd"/>
      <w:r w:rsidRPr="00224676">
        <w:rPr>
          <w:rFonts w:eastAsiaTheme="minorHAnsi"/>
          <w:color w:val="auto"/>
          <w:szCs w:val="22"/>
          <w:lang w:eastAsia="en-US"/>
        </w:rPr>
        <w:t xml:space="preserve"> SENCO.</w:t>
      </w:r>
    </w:p>
    <w:p w14:paraId="6ABCAAB8"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 xml:space="preserve">To assess children's learning, development and wellbeing using agreed assessment and screening tools, including </w:t>
      </w:r>
      <w:proofErr w:type="spellStart"/>
      <w:r w:rsidRPr="00224676">
        <w:rPr>
          <w:rFonts w:eastAsiaTheme="minorHAnsi"/>
          <w:color w:val="auto"/>
          <w:szCs w:val="22"/>
          <w:lang w:eastAsia="en-US"/>
        </w:rPr>
        <w:t>WellComm</w:t>
      </w:r>
      <w:proofErr w:type="spellEnd"/>
      <w:r w:rsidRPr="00224676">
        <w:rPr>
          <w:rFonts w:eastAsiaTheme="minorHAnsi"/>
          <w:color w:val="auto"/>
          <w:szCs w:val="22"/>
          <w:lang w:eastAsia="en-US"/>
        </w:rPr>
        <w:t>, Dingley's Promise and other Trust-approved assessment systems.</w:t>
      </w:r>
    </w:p>
    <w:p w14:paraId="62EE4456"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analyse and track children's progress and attainment data at least termly, and more frequently where required, identifying children requiring additional support, intervention or challenge.</w:t>
      </w:r>
    </w:p>
    <w:p w14:paraId="69C07BDE"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identify children with emerging SEND and additional needs and work collaboratively with families, the SENCO, Integrated Early Years Services and other professionals to secure appropriate support and funding.</w:t>
      </w:r>
    </w:p>
    <w:p w14:paraId="185CF1AE"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complete referrals and supporting documentation for Inclusion Funding, Transition Funding and other support services where appropriate.</w:t>
      </w:r>
    </w:p>
    <w:p w14:paraId="40B0679E"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manage effective parent liaison, ensuring regular communication and interaction with parents, including termly family learning workshops/opportunities.</w:t>
      </w:r>
    </w:p>
    <w:p w14:paraId="4A83F635"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lastRenderedPageBreak/>
        <w:t>To undertake home visits where appropriate to support admissions, transitions and family engagement. Staff undertaking home visits must hold appropriate business use insurance for their vehicle. Approved mileage expenses will be reimbursed in accordance with Trust policy.</w:t>
      </w:r>
    </w:p>
    <w:p w14:paraId="438938FA"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lead and coordinate effective transition arrangements into Nursery and from Nursery into Reception, ensuring information is shared appropriately and children and families are well prepared for their next stage of learning.</w:t>
      </w:r>
    </w:p>
    <w:p w14:paraId="025BB3FA"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promote good attendance and punctuality, supporting families to understand the importance of establishing positive attendance habits from the earliest stages of education.</w:t>
      </w:r>
    </w:p>
    <w:p w14:paraId="1314398B"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receive and deal with complaints positively in accordance with procedure and liaise with senior staff for support and communication.</w:t>
      </w:r>
    </w:p>
    <w:p w14:paraId="09F03410"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participate in the appraisal process.</w:t>
      </w:r>
    </w:p>
    <w:p w14:paraId="5F09F485" w14:textId="77777777" w:rsidR="00224676" w:rsidRPr="00224676" w:rsidRDefault="00224676" w:rsidP="00224676">
      <w:pPr>
        <w:spacing w:after="160" w:line="278" w:lineRule="auto"/>
        <w:ind w:left="0" w:firstLine="0"/>
        <w:rPr>
          <w:rFonts w:eastAsiaTheme="minorHAnsi"/>
          <w:b/>
          <w:bCs/>
          <w:color w:val="auto"/>
          <w:sz w:val="24"/>
          <w:lang w:eastAsia="en-US"/>
        </w:rPr>
      </w:pPr>
      <w:r w:rsidRPr="00224676">
        <w:rPr>
          <w:rFonts w:eastAsiaTheme="minorHAnsi"/>
          <w:b/>
          <w:bCs/>
          <w:color w:val="auto"/>
          <w:sz w:val="24"/>
          <w:lang w:eastAsia="en-US"/>
        </w:rPr>
        <w:t>Managing Resources</w:t>
      </w:r>
    </w:p>
    <w:p w14:paraId="1BF680B0" w14:textId="36B4BB98"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work with senior staff advising on capacity, reviewing numbers of children attending and following up enquiries promptly to ensure maximum capacity levels are maintained</w:t>
      </w:r>
      <w:r w:rsidR="00E77D0F">
        <w:rPr>
          <w:rFonts w:eastAsiaTheme="minorHAnsi"/>
          <w:color w:val="auto"/>
          <w:szCs w:val="22"/>
          <w:lang w:eastAsia="en-US"/>
        </w:rPr>
        <w:t>.</w:t>
      </w:r>
    </w:p>
    <w:p w14:paraId="5AB3A8C4" w14:textId="6EA9EB4B"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 xml:space="preserve">To oversee nursery enquiries, admissions processes and </w:t>
      </w:r>
      <w:r w:rsidR="00E77D0F">
        <w:rPr>
          <w:rFonts w:eastAsiaTheme="minorHAnsi"/>
          <w:color w:val="auto"/>
          <w:szCs w:val="22"/>
          <w:lang w:eastAsia="en-US"/>
        </w:rPr>
        <w:t>school visits</w:t>
      </w:r>
      <w:r w:rsidRPr="00224676">
        <w:rPr>
          <w:rFonts w:eastAsiaTheme="minorHAnsi"/>
          <w:color w:val="auto"/>
          <w:szCs w:val="22"/>
          <w:lang w:eastAsia="en-US"/>
        </w:rPr>
        <w:t>, ensuring prospective families receive timely information and support.</w:t>
      </w:r>
    </w:p>
    <w:p w14:paraId="395E5653"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follow financial processes within the Trust when ordering resources and stock.</w:t>
      </w:r>
    </w:p>
    <w:p w14:paraId="73226FF0"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ensure an effective stock control system is maintained and order materials using financial process liaising with administration and senior staff.</w:t>
      </w:r>
    </w:p>
    <w:p w14:paraId="0B2D3676"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organise and maintain high-quality indoor and outdoor learning environments which meet the developmental needs and interests of children and promote independence, exploration and learning.</w:t>
      </w:r>
    </w:p>
    <w:p w14:paraId="608F1279" w14:textId="77777777" w:rsidR="00224676" w:rsidRPr="00224676" w:rsidRDefault="00224676" w:rsidP="00224676">
      <w:pPr>
        <w:spacing w:after="160" w:line="278" w:lineRule="auto"/>
        <w:ind w:left="0" w:firstLine="0"/>
        <w:rPr>
          <w:rFonts w:eastAsiaTheme="minorHAnsi"/>
          <w:b/>
          <w:bCs/>
          <w:color w:val="auto"/>
          <w:sz w:val="24"/>
          <w:lang w:eastAsia="en-US"/>
        </w:rPr>
      </w:pPr>
      <w:r w:rsidRPr="00224676">
        <w:rPr>
          <w:rFonts w:eastAsiaTheme="minorHAnsi"/>
          <w:b/>
          <w:bCs/>
          <w:color w:val="auto"/>
          <w:sz w:val="24"/>
          <w:lang w:eastAsia="en-US"/>
        </w:rPr>
        <w:t>Managing People</w:t>
      </w:r>
    </w:p>
    <w:p w14:paraId="6BC4A257"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 xml:space="preserve">To assist in recruitment and to support a staff team with the appropriate skills, qualifications, experiences and qualities, ensuring the Nursery is </w:t>
      </w:r>
      <w:proofErr w:type="gramStart"/>
      <w:r w:rsidRPr="00224676">
        <w:rPr>
          <w:rFonts w:eastAsiaTheme="minorHAnsi"/>
          <w:color w:val="auto"/>
          <w:szCs w:val="22"/>
          <w:lang w:eastAsia="en-US"/>
        </w:rPr>
        <w:t>staffed to the required levels at all times</w:t>
      </w:r>
      <w:proofErr w:type="gramEnd"/>
      <w:r w:rsidRPr="00224676">
        <w:rPr>
          <w:rFonts w:eastAsiaTheme="minorHAnsi"/>
          <w:color w:val="auto"/>
          <w:szCs w:val="22"/>
          <w:lang w:eastAsia="en-US"/>
        </w:rPr>
        <w:t>.</w:t>
      </w:r>
    </w:p>
    <w:p w14:paraId="7194E381"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Promote staff management procedures in accordance with Trust policies.</w:t>
      </w:r>
    </w:p>
    <w:p w14:paraId="77E8CE76"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support, coach and develop staff through effective supervision.</w:t>
      </w:r>
    </w:p>
    <w:p w14:paraId="394575C9"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delegate responsibilities appropriately and ensure staff understand and fulfil their roles and responsibilities.</w:t>
      </w:r>
    </w:p>
    <w:p w14:paraId="38C46FAB"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support staff in implementing effective behaviour management strategies and positive approaches to children's personal, social and emotional development.</w:t>
      </w:r>
    </w:p>
    <w:p w14:paraId="62FCD02E"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work collaboratively with other Nursery Managers, school leaders and the Nursery Area Coordinator to share best practice and improve outcomes for children.</w:t>
      </w:r>
    </w:p>
    <w:p w14:paraId="17CB657B" w14:textId="77777777" w:rsidR="00224676" w:rsidRPr="00224676" w:rsidRDefault="00224676" w:rsidP="00224676">
      <w:pPr>
        <w:spacing w:after="160" w:line="278" w:lineRule="auto"/>
        <w:ind w:left="0" w:firstLine="0"/>
        <w:rPr>
          <w:rFonts w:eastAsiaTheme="minorHAnsi"/>
          <w:b/>
          <w:bCs/>
          <w:color w:val="auto"/>
          <w:sz w:val="24"/>
          <w:lang w:eastAsia="en-US"/>
        </w:rPr>
      </w:pPr>
      <w:r w:rsidRPr="00224676">
        <w:rPr>
          <w:rFonts w:eastAsiaTheme="minorHAnsi"/>
          <w:b/>
          <w:bCs/>
          <w:color w:val="auto"/>
          <w:sz w:val="24"/>
          <w:lang w:eastAsia="en-US"/>
        </w:rPr>
        <w:t>Managing Quality</w:t>
      </w:r>
    </w:p>
    <w:p w14:paraId="7100E151"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be responsible for maintaining a safe and acceptable standard of practice that meets OFSTED criteria.</w:t>
      </w:r>
    </w:p>
    <w:p w14:paraId="49D0E520"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ensure the implementation of all relevant legislation, policies and procedures.</w:t>
      </w:r>
    </w:p>
    <w:p w14:paraId="6DF2CA79"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Liaise with senior staff to equip the Nursery with suitable materials of a high quality which enhance the Nursery environment.</w:t>
      </w:r>
    </w:p>
    <w:p w14:paraId="164E7999"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ensure the Nursery operates in full compliance with the current EYFS Statutory Framework, meeting all statutory welfare, safeguarding, learning and development requirements.</w:t>
      </w:r>
    </w:p>
    <w:p w14:paraId="5B9B9CF3"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lastRenderedPageBreak/>
        <w:t>To complete and monitor daily risk assessments and ensure prompt action is taken to maintain a safe, secure and stimulating learning environment.</w:t>
      </w:r>
    </w:p>
    <w:p w14:paraId="7BE10338"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ensure the effective use of Early Years Pupil Premium (EYPP) funding and monitor its impact on improving outcomes for disadvantaged children.</w:t>
      </w:r>
    </w:p>
    <w:p w14:paraId="02457F99" w14:textId="77777777" w:rsidR="00224676" w:rsidRPr="00224676" w:rsidRDefault="00224676" w:rsidP="00224676">
      <w:pPr>
        <w:spacing w:after="160" w:line="278" w:lineRule="auto"/>
        <w:ind w:left="0" w:firstLine="0"/>
        <w:rPr>
          <w:rFonts w:eastAsiaTheme="minorHAnsi"/>
          <w:b/>
          <w:bCs/>
          <w:color w:val="auto"/>
          <w:sz w:val="24"/>
          <w:lang w:eastAsia="en-US"/>
        </w:rPr>
      </w:pPr>
      <w:r w:rsidRPr="00224676">
        <w:rPr>
          <w:rFonts w:eastAsiaTheme="minorHAnsi"/>
          <w:b/>
          <w:bCs/>
          <w:color w:val="auto"/>
          <w:sz w:val="24"/>
          <w:lang w:eastAsia="en-US"/>
        </w:rPr>
        <w:t>Managing Information</w:t>
      </w:r>
    </w:p>
    <w:p w14:paraId="3F3CB49F"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produce reports of data information as required, maintaining high standards of accuracy and confidentiality in record keeping and GDPR.</w:t>
      </w:r>
    </w:p>
    <w:p w14:paraId="16EA1FC4"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complete and submit all required funding documentation, including Parent/Carer Funding Declaration Forms, EYPP, DAF, Inclusion Funding and Transition Funding applications within agreed timescales.</w:t>
      </w:r>
    </w:p>
    <w:p w14:paraId="2ED1712E"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support the completion of statutory census returns and funding allocation processes, ensuring all information is accurate and submitted on time.</w:t>
      </w:r>
    </w:p>
    <w:p w14:paraId="33EFB66C"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To undertake any other task requested which is commensurate with this role and responsibility.</w:t>
      </w:r>
    </w:p>
    <w:p w14:paraId="2738887F" w14:textId="77777777" w:rsidR="00E77D0F" w:rsidRDefault="00E77D0F" w:rsidP="00224676">
      <w:pPr>
        <w:spacing w:after="160" w:line="278" w:lineRule="auto"/>
        <w:ind w:left="0" w:firstLine="0"/>
        <w:rPr>
          <w:rFonts w:eastAsiaTheme="minorHAnsi"/>
          <w:b/>
          <w:bCs/>
          <w:color w:val="auto"/>
          <w:sz w:val="24"/>
          <w:lang w:eastAsia="en-US"/>
        </w:rPr>
      </w:pPr>
    </w:p>
    <w:p w14:paraId="0E36165E" w14:textId="4E8D8BC9" w:rsidR="00224676" w:rsidRPr="00224676" w:rsidRDefault="00224676" w:rsidP="00224676">
      <w:pPr>
        <w:spacing w:after="160" w:line="278" w:lineRule="auto"/>
        <w:ind w:left="0" w:firstLine="0"/>
        <w:rPr>
          <w:rFonts w:eastAsiaTheme="minorHAnsi"/>
          <w:b/>
          <w:bCs/>
          <w:color w:val="auto"/>
          <w:sz w:val="24"/>
          <w:lang w:eastAsia="en-US"/>
        </w:rPr>
      </w:pPr>
      <w:r w:rsidRPr="00224676">
        <w:rPr>
          <w:rFonts w:eastAsiaTheme="minorHAnsi"/>
          <w:b/>
          <w:bCs/>
          <w:color w:val="auto"/>
          <w:sz w:val="24"/>
          <w:lang w:eastAsia="en-US"/>
        </w:rPr>
        <w:t>Person Specification</w:t>
      </w:r>
    </w:p>
    <w:p w14:paraId="4C04D26A" w14:textId="77777777" w:rsidR="00224676" w:rsidRPr="00224676" w:rsidRDefault="00224676" w:rsidP="00224676">
      <w:pPr>
        <w:spacing w:after="160" w:line="278" w:lineRule="auto"/>
        <w:ind w:left="0" w:firstLine="0"/>
        <w:rPr>
          <w:rFonts w:eastAsiaTheme="minorHAnsi"/>
          <w:b/>
          <w:bCs/>
          <w:color w:val="auto"/>
          <w:sz w:val="24"/>
          <w:lang w:eastAsia="en-US"/>
        </w:rPr>
      </w:pPr>
      <w:r w:rsidRPr="00224676">
        <w:rPr>
          <w:rFonts w:eastAsiaTheme="minorHAnsi"/>
          <w:b/>
          <w:bCs/>
          <w:color w:val="auto"/>
          <w:sz w:val="24"/>
          <w:lang w:eastAsia="en-US"/>
        </w:rPr>
        <w:t>Experience</w:t>
      </w:r>
    </w:p>
    <w:p w14:paraId="7009042C"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Minimum of five years working in an Early Years Care/Education setting.</w:t>
      </w:r>
    </w:p>
    <w:p w14:paraId="24F1F9C2"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Experience of providing quality childcare and education within the early years.</w:t>
      </w:r>
    </w:p>
    <w:p w14:paraId="72073EFF"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Experience of record keeping and maintaining confidentiality.</w:t>
      </w:r>
    </w:p>
    <w:p w14:paraId="1B08AD55"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Demonstrate an understanding of and commitment to equal opportunities.</w:t>
      </w:r>
    </w:p>
    <w:p w14:paraId="36EE508C"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Knowledge and understanding of the EYFS curriculum and implementation.</w:t>
      </w:r>
    </w:p>
    <w:p w14:paraId="6F94ED50"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Knowledge of Health and Safety issues.</w:t>
      </w:r>
    </w:p>
    <w:p w14:paraId="3F6109D4"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Knowledge of child protection issues and procedures.</w:t>
      </w:r>
    </w:p>
    <w:p w14:paraId="08C2D5EC"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Experience of working with children with SEND and additional needs.</w:t>
      </w:r>
    </w:p>
    <w:p w14:paraId="35957249"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Experience of working collaboratively with parents, external agencies and multi-disciplinary professionals.</w:t>
      </w:r>
    </w:p>
    <w:p w14:paraId="414E3329" w14:textId="77777777" w:rsidR="00224676" w:rsidRPr="00224676" w:rsidRDefault="00224676" w:rsidP="00224676">
      <w:pPr>
        <w:spacing w:after="160" w:line="278" w:lineRule="auto"/>
        <w:ind w:left="0" w:firstLine="0"/>
        <w:rPr>
          <w:rFonts w:eastAsiaTheme="minorHAnsi"/>
          <w:b/>
          <w:bCs/>
          <w:color w:val="auto"/>
          <w:szCs w:val="22"/>
          <w:lang w:eastAsia="en-US"/>
        </w:rPr>
      </w:pPr>
      <w:r w:rsidRPr="00224676">
        <w:rPr>
          <w:rFonts w:eastAsiaTheme="minorHAnsi"/>
          <w:b/>
          <w:bCs/>
          <w:color w:val="auto"/>
          <w:szCs w:val="22"/>
          <w:lang w:eastAsia="en-US"/>
        </w:rPr>
        <w:t>Qualifications/Training</w:t>
      </w:r>
    </w:p>
    <w:p w14:paraId="700D8129"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Minimum qualification of NNEB, BTEC National Diploma, Recognised NVQ Level 3 in Childcare or equivalent.</w:t>
      </w:r>
    </w:p>
    <w:p w14:paraId="5120F6DB"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GCSE Maths or equivalent Grade A*-C (or to achieve within 2 years of being in post)</w:t>
      </w:r>
    </w:p>
    <w:p w14:paraId="78AB1E39"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Paediatric First Aid (Desirable, not essential)</w:t>
      </w:r>
    </w:p>
    <w:p w14:paraId="57B37BC6" w14:textId="77777777" w:rsidR="00224676" w:rsidRPr="00224676" w:rsidRDefault="00224676" w:rsidP="00224676">
      <w:pPr>
        <w:spacing w:after="160" w:line="278" w:lineRule="auto"/>
        <w:ind w:left="0" w:firstLine="0"/>
        <w:rPr>
          <w:rFonts w:eastAsiaTheme="minorHAnsi"/>
          <w:b/>
          <w:bCs/>
          <w:color w:val="auto"/>
          <w:szCs w:val="22"/>
          <w:lang w:eastAsia="en-US"/>
        </w:rPr>
      </w:pPr>
      <w:r w:rsidRPr="00224676">
        <w:rPr>
          <w:rFonts w:eastAsiaTheme="minorHAnsi"/>
          <w:b/>
          <w:bCs/>
          <w:color w:val="auto"/>
          <w:szCs w:val="22"/>
          <w:lang w:eastAsia="en-US"/>
        </w:rPr>
        <w:t>Practical Skills</w:t>
      </w:r>
    </w:p>
    <w:p w14:paraId="1BA03991"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Effective communication skills.</w:t>
      </w:r>
    </w:p>
    <w:p w14:paraId="6CCD32F5"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Ability to manage a team effectively.</w:t>
      </w:r>
    </w:p>
    <w:p w14:paraId="1728E58E"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Must be able to work autonomously, manage own workload and meet targets set.</w:t>
      </w:r>
    </w:p>
    <w:p w14:paraId="16FB3881"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Ability to analyse and interpret assessment, attendance and progress data to inform planning and provision.</w:t>
      </w:r>
    </w:p>
    <w:p w14:paraId="3EB35E04"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Ability to use a range of assessment and tracking tools to support children's development and progress.</w:t>
      </w:r>
    </w:p>
    <w:p w14:paraId="022A9F4A" w14:textId="77777777" w:rsidR="00224676" w:rsidRPr="00224676" w:rsidRDefault="00224676" w:rsidP="00224676">
      <w:pPr>
        <w:spacing w:after="160" w:line="278" w:lineRule="auto"/>
        <w:ind w:left="0" w:firstLine="0"/>
        <w:rPr>
          <w:rFonts w:eastAsiaTheme="minorHAnsi"/>
          <w:b/>
          <w:bCs/>
          <w:color w:val="auto"/>
          <w:szCs w:val="22"/>
          <w:lang w:eastAsia="en-US"/>
        </w:rPr>
      </w:pPr>
      <w:r w:rsidRPr="00224676">
        <w:rPr>
          <w:rFonts w:eastAsiaTheme="minorHAnsi"/>
          <w:b/>
          <w:bCs/>
          <w:color w:val="auto"/>
          <w:szCs w:val="22"/>
          <w:lang w:eastAsia="en-US"/>
        </w:rPr>
        <w:t>Personal Qualities and Attributes</w:t>
      </w:r>
    </w:p>
    <w:p w14:paraId="382D9993" w14:textId="77777777" w:rsidR="00224676" w:rsidRPr="00224676" w:rsidRDefault="00224676" w:rsidP="00224676">
      <w:pPr>
        <w:numPr>
          <w:ilvl w:val="1"/>
          <w:numId w:val="8"/>
        </w:numPr>
        <w:spacing w:after="160" w:line="278" w:lineRule="auto"/>
        <w:contextualSpacing/>
        <w:rPr>
          <w:rFonts w:eastAsiaTheme="minorHAnsi"/>
          <w:color w:val="auto"/>
          <w:szCs w:val="22"/>
          <w:lang w:eastAsia="en-US"/>
        </w:rPr>
      </w:pPr>
      <w:r w:rsidRPr="00224676">
        <w:rPr>
          <w:rFonts w:eastAsiaTheme="minorHAnsi"/>
          <w:color w:val="auto"/>
          <w:szCs w:val="22"/>
          <w:lang w:eastAsia="en-US"/>
        </w:rPr>
        <w:t>Willing to work flexibly to meet the needs of the Nursery.</w:t>
      </w:r>
    </w:p>
    <w:p w14:paraId="3D7E15FC" w14:textId="77777777" w:rsidR="002B6102" w:rsidRDefault="004805A1">
      <w:pPr>
        <w:spacing w:after="158" w:line="259" w:lineRule="auto"/>
        <w:ind w:left="0" w:firstLine="0"/>
      </w:pPr>
      <w:r>
        <w:rPr>
          <w:b/>
        </w:rPr>
        <w:t xml:space="preserve"> </w:t>
      </w:r>
    </w:p>
    <w:p w14:paraId="2BDBE856" w14:textId="77777777" w:rsidR="00E77D0F" w:rsidRDefault="00E77D0F">
      <w:pPr>
        <w:spacing w:after="160" w:line="259" w:lineRule="auto"/>
        <w:ind w:left="-5"/>
        <w:rPr>
          <w:b/>
        </w:rPr>
      </w:pPr>
    </w:p>
    <w:p w14:paraId="291E48F4" w14:textId="3ED927E2" w:rsidR="002B6102" w:rsidRDefault="004805A1">
      <w:pPr>
        <w:spacing w:after="160" w:line="259" w:lineRule="auto"/>
        <w:ind w:left="-5"/>
      </w:pPr>
      <w:r>
        <w:rPr>
          <w:b/>
        </w:rPr>
        <w:lastRenderedPageBreak/>
        <w:t>Additional Information:</w:t>
      </w:r>
      <w:r>
        <w:t xml:space="preserve"> </w:t>
      </w:r>
    </w:p>
    <w:p w14:paraId="09E17B68" w14:textId="77777777" w:rsidR="002B6102" w:rsidRDefault="004805A1">
      <w:pPr>
        <w:spacing w:after="0" w:line="259" w:lineRule="auto"/>
        <w:ind w:left="0" w:firstLine="0"/>
      </w:pPr>
      <w:r>
        <w:t xml:space="preserve">  </w:t>
      </w:r>
    </w:p>
    <w:p w14:paraId="2A47F230" w14:textId="77777777" w:rsidR="002B6102" w:rsidRDefault="004805A1">
      <w:pPr>
        <w:spacing w:after="159" w:line="258" w:lineRule="auto"/>
        <w:ind w:left="-5" w:right="37"/>
        <w:jc w:val="both"/>
      </w:pPr>
      <w:r>
        <w:rPr>
          <w:b/>
          <w:i/>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r>
        <w:t xml:space="preserve"> </w:t>
      </w:r>
    </w:p>
    <w:p w14:paraId="2522F820" w14:textId="77777777" w:rsidR="002B6102" w:rsidRDefault="004805A1">
      <w:pPr>
        <w:spacing w:after="160" w:line="259" w:lineRule="auto"/>
        <w:ind w:left="0" w:firstLine="0"/>
      </w:pPr>
      <w:r>
        <w:rPr>
          <w:b/>
          <w:i/>
        </w:rPr>
        <w:t xml:space="preserve"> </w:t>
      </w:r>
      <w:r>
        <w:t xml:space="preserve"> </w:t>
      </w:r>
    </w:p>
    <w:p w14:paraId="4995B18D" w14:textId="77777777" w:rsidR="002B6102" w:rsidRDefault="004805A1">
      <w:pPr>
        <w:spacing w:after="159" w:line="258" w:lineRule="auto"/>
        <w:ind w:left="-5" w:right="37"/>
        <w:jc w:val="both"/>
      </w:pPr>
      <w:r>
        <w:rPr>
          <w:b/>
          <w:i/>
        </w:rPr>
        <w:t xml:space="preserve">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r>
        <w:t xml:space="preserve"> </w:t>
      </w:r>
    </w:p>
    <w:p w14:paraId="0EC94478" w14:textId="77777777" w:rsidR="002B6102" w:rsidRDefault="004805A1">
      <w:pPr>
        <w:spacing w:after="160" w:line="259" w:lineRule="auto"/>
        <w:ind w:left="0" w:firstLine="0"/>
      </w:pPr>
      <w:r>
        <w:t xml:space="preserve">  </w:t>
      </w:r>
    </w:p>
    <w:p w14:paraId="5A5465B1" w14:textId="77777777" w:rsidR="002B6102" w:rsidRDefault="004805A1">
      <w:pPr>
        <w:spacing w:after="164" w:line="256" w:lineRule="auto"/>
        <w:ind w:left="0" w:firstLine="0"/>
      </w:pPr>
      <w:hyperlink r:id="rId6">
        <w:r>
          <w:rPr>
            <w:color w:val="0563C1"/>
            <w:u w:val="single" w:color="0563C1"/>
          </w:rPr>
          <w:t>https://www.gov.uk/government/publications/new</w:t>
        </w:r>
      </w:hyperlink>
      <w:hyperlink r:id="rId7">
        <w:r>
          <w:rPr>
            <w:color w:val="0563C1"/>
            <w:u w:val="single" w:color="0563C1"/>
          </w:rPr>
          <w:t>-</w:t>
        </w:r>
      </w:hyperlink>
      <w:hyperlink r:id="rId8">
        <w:r>
          <w:rPr>
            <w:color w:val="0563C1"/>
            <w:u w:val="single" w:color="0563C1"/>
          </w:rPr>
          <w:t>guidance</w:t>
        </w:r>
      </w:hyperlink>
      <w:hyperlink r:id="rId9">
        <w:r>
          <w:rPr>
            <w:color w:val="0563C1"/>
            <w:u w:val="single" w:color="0563C1"/>
          </w:rPr>
          <w:t>-</w:t>
        </w:r>
      </w:hyperlink>
      <w:hyperlink r:id="rId10">
        <w:r>
          <w:rPr>
            <w:color w:val="0563C1"/>
            <w:u w:val="single" w:color="0563C1"/>
          </w:rPr>
          <w:t>on</w:t>
        </w:r>
      </w:hyperlink>
      <w:hyperlink r:id="rId11">
        <w:r>
          <w:rPr>
            <w:color w:val="0563C1"/>
            <w:u w:val="single" w:color="0563C1"/>
          </w:rPr>
          <w:t>-</w:t>
        </w:r>
      </w:hyperlink>
      <w:hyperlink r:id="rId12">
        <w:r>
          <w:rPr>
            <w:color w:val="0563C1"/>
            <w:u w:val="single" w:color="0563C1"/>
          </w:rPr>
          <w:t>the</w:t>
        </w:r>
      </w:hyperlink>
      <w:hyperlink r:id="rId13">
        <w:r>
          <w:rPr>
            <w:color w:val="0563C1"/>
            <w:u w:val="single" w:color="0563C1"/>
          </w:rPr>
          <w:t>-</w:t>
        </w:r>
      </w:hyperlink>
      <w:hyperlink r:id="rId14">
        <w:r>
          <w:rPr>
            <w:color w:val="0563C1"/>
            <w:u w:val="single" w:color="0563C1"/>
          </w:rPr>
          <w:t>rehabilitation</w:t>
        </w:r>
      </w:hyperlink>
      <w:hyperlink r:id="rId15">
        <w:r>
          <w:rPr>
            <w:color w:val="0563C1"/>
            <w:u w:val="single" w:color="0563C1"/>
          </w:rPr>
          <w:t>-</w:t>
        </w:r>
      </w:hyperlink>
      <w:hyperlink r:id="rId16">
        <w:r>
          <w:rPr>
            <w:color w:val="0563C1"/>
            <w:u w:val="single" w:color="0563C1"/>
          </w:rPr>
          <w:t>of</w:t>
        </w:r>
      </w:hyperlink>
      <w:hyperlink r:id="rId17">
        <w:r>
          <w:rPr>
            <w:color w:val="0563C1"/>
            <w:u w:val="single" w:color="0563C1"/>
          </w:rPr>
          <w:t>-</w:t>
        </w:r>
      </w:hyperlink>
      <w:hyperlink r:id="rId18">
        <w:r>
          <w:rPr>
            <w:color w:val="0563C1"/>
            <w:u w:val="single" w:color="0563C1"/>
          </w:rPr>
          <w:t>offenders</w:t>
        </w:r>
      </w:hyperlink>
      <w:hyperlink r:id="rId19"/>
      <w:hyperlink r:id="rId20">
        <w:r>
          <w:rPr>
            <w:color w:val="0563C1"/>
            <w:u w:val="single" w:color="0563C1"/>
          </w:rPr>
          <w:t>act</w:t>
        </w:r>
      </w:hyperlink>
      <w:hyperlink r:id="rId21">
        <w:r>
          <w:rPr>
            <w:color w:val="0563C1"/>
            <w:u w:val="single" w:color="0563C1"/>
          </w:rPr>
          <w:t>-</w:t>
        </w:r>
      </w:hyperlink>
      <w:hyperlink r:id="rId22">
        <w:r>
          <w:rPr>
            <w:color w:val="0563C1"/>
            <w:u w:val="single" w:color="0563C1"/>
          </w:rPr>
          <w:t>1974</w:t>
        </w:r>
      </w:hyperlink>
      <w:hyperlink r:id="rId23">
        <w:r>
          <w:t xml:space="preserve"> </w:t>
        </w:r>
      </w:hyperlink>
    </w:p>
    <w:p w14:paraId="72CE16AF" w14:textId="77777777" w:rsidR="002B6102" w:rsidRDefault="004805A1">
      <w:pPr>
        <w:spacing w:after="158" w:line="259" w:lineRule="auto"/>
        <w:ind w:left="0" w:firstLine="0"/>
      </w:pPr>
      <w:r>
        <w:rPr>
          <w:b/>
        </w:rPr>
        <w:t xml:space="preserve"> </w:t>
      </w:r>
      <w:r>
        <w:t xml:space="preserve"> </w:t>
      </w:r>
    </w:p>
    <w:p w14:paraId="67491A2E" w14:textId="77777777" w:rsidR="002B6102" w:rsidRDefault="004805A1">
      <w:pPr>
        <w:spacing w:after="160" w:line="259" w:lineRule="auto"/>
        <w:ind w:left="0" w:firstLine="0"/>
      </w:pPr>
      <w:r>
        <w:rPr>
          <w:b/>
        </w:rPr>
        <w:t xml:space="preserve"> </w:t>
      </w:r>
    </w:p>
    <w:p w14:paraId="7A7E320C" w14:textId="77777777" w:rsidR="002B6102" w:rsidRDefault="004805A1">
      <w:pPr>
        <w:spacing w:after="158" w:line="259" w:lineRule="auto"/>
        <w:ind w:left="0" w:firstLine="0"/>
      </w:pPr>
      <w:r>
        <w:rPr>
          <w:i/>
        </w:rPr>
        <w:t xml:space="preserve"> </w:t>
      </w:r>
    </w:p>
    <w:p w14:paraId="5652E04F" w14:textId="77777777" w:rsidR="002B6102" w:rsidRDefault="004805A1">
      <w:pPr>
        <w:spacing w:after="0" w:line="259" w:lineRule="auto"/>
        <w:ind w:left="0" w:firstLine="0"/>
      </w:pPr>
      <w:r>
        <w:rPr>
          <w:b/>
        </w:rPr>
        <w:t xml:space="preserve"> </w:t>
      </w:r>
    </w:p>
    <w:sectPr w:rsidR="002B6102">
      <w:pgSz w:w="11906" w:h="16838"/>
      <w:pgMar w:top="893" w:right="1388" w:bottom="89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A056B"/>
    <w:multiLevelType w:val="hybridMultilevel"/>
    <w:tmpl w:val="ED9AAF24"/>
    <w:lvl w:ilvl="0" w:tplc="939E8E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EE6E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22A0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D6E3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16F7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A2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E8B2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5C42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4E3C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9E08AD"/>
    <w:multiLevelType w:val="hybridMultilevel"/>
    <w:tmpl w:val="E7F42AFA"/>
    <w:lvl w:ilvl="0" w:tplc="411EA0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ECC8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B8B6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582D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2ECB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0AEC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3863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C26A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6C47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A33472"/>
    <w:multiLevelType w:val="hybridMultilevel"/>
    <w:tmpl w:val="53AC766C"/>
    <w:lvl w:ilvl="0" w:tplc="B2E0C7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7860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2C14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7035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42D6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C08C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9A4B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B2F5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60D3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AC2279B"/>
    <w:multiLevelType w:val="hybridMultilevel"/>
    <w:tmpl w:val="530A3AC6"/>
    <w:lvl w:ilvl="0" w:tplc="3226448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741EBE">
      <w:start w:val="1"/>
      <w:numFmt w:val="bullet"/>
      <w:lvlText w:val="o"/>
      <w:lvlJc w:val="left"/>
      <w:pPr>
        <w:ind w:left="1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023288">
      <w:start w:val="1"/>
      <w:numFmt w:val="bullet"/>
      <w:lvlText w:val="▪"/>
      <w:lvlJc w:val="left"/>
      <w:pPr>
        <w:ind w:left="2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241786">
      <w:start w:val="1"/>
      <w:numFmt w:val="bullet"/>
      <w:lvlText w:val="•"/>
      <w:lvlJc w:val="left"/>
      <w:pPr>
        <w:ind w:left="3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58ABE6">
      <w:start w:val="1"/>
      <w:numFmt w:val="bullet"/>
      <w:lvlText w:val="o"/>
      <w:lvlJc w:val="left"/>
      <w:pPr>
        <w:ind w:left="3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2A51D0">
      <w:start w:val="1"/>
      <w:numFmt w:val="bullet"/>
      <w:lvlText w:val="▪"/>
      <w:lvlJc w:val="left"/>
      <w:pPr>
        <w:ind w:left="4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10DCEC">
      <w:start w:val="1"/>
      <w:numFmt w:val="bullet"/>
      <w:lvlText w:val="•"/>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C8BCF4">
      <w:start w:val="1"/>
      <w:numFmt w:val="bullet"/>
      <w:lvlText w:val="o"/>
      <w:lvlJc w:val="left"/>
      <w:pPr>
        <w:ind w:left="6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46E798">
      <w:start w:val="1"/>
      <w:numFmt w:val="bullet"/>
      <w:lvlText w:val="▪"/>
      <w:lvlJc w:val="left"/>
      <w:pPr>
        <w:ind w:left="6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6BB032E"/>
    <w:multiLevelType w:val="hybridMultilevel"/>
    <w:tmpl w:val="39C20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556C83"/>
    <w:multiLevelType w:val="hybridMultilevel"/>
    <w:tmpl w:val="37B81EB6"/>
    <w:lvl w:ilvl="0" w:tplc="8862A5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B872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2E3A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F6F0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C4CA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F04F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D036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2484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D48C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F3104CA"/>
    <w:multiLevelType w:val="hybridMultilevel"/>
    <w:tmpl w:val="F56278DE"/>
    <w:lvl w:ilvl="0" w:tplc="46A82B2E">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DEF2B0">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DC251A">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D4A87E">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2C3EEE">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E07804">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786C60">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EAF01A">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88AC62">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9B146B1"/>
    <w:multiLevelType w:val="hybridMultilevel"/>
    <w:tmpl w:val="6652CC06"/>
    <w:lvl w:ilvl="0" w:tplc="AC9442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BC4E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08B2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8EC0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E8DB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BC8C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2AB8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AAF5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3A77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40273408">
    <w:abstractNumId w:val="5"/>
  </w:num>
  <w:num w:numId="2" w16cid:durableId="1027675643">
    <w:abstractNumId w:val="7"/>
  </w:num>
  <w:num w:numId="3" w16cid:durableId="1816409239">
    <w:abstractNumId w:val="2"/>
  </w:num>
  <w:num w:numId="4" w16cid:durableId="10449248">
    <w:abstractNumId w:val="0"/>
  </w:num>
  <w:num w:numId="5" w16cid:durableId="115415419">
    <w:abstractNumId w:val="6"/>
  </w:num>
  <w:num w:numId="6" w16cid:durableId="1773280939">
    <w:abstractNumId w:val="3"/>
  </w:num>
  <w:num w:numId="7" w16cid:durableId="1182402718">
    <w:abstractNumId w:val="1"/>
  </w:num>
  <w:num w:numId="8" w16cid:durableId="2107114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02"/>
    <w:rsid w:val="00224676"/>
    <w:rsid w:val="002B6102"/>
    <w:rsid w:val="003A5820"/>
    <w:rsid w:val="004805A1"/>
    <w:rsid w:val="00E77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B453"/>
  <w15:docId w15:val="{FE696DB1-1211-425C-85F7-6F641872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37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05"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hyperlink" Target="https://www.gov.uk/government/publications/new-guidance-on-the-rehabilitation-of-offenders-act-1974" TargetMode="Externa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Jones</dc:creator>
  <cp:keywords/>
  <cp:lastModifiedBy>Kelvin Daley</cp:lastModifiedBy>
  <cp:revision>2</cp:revision>
  <dcterms:created xsi:type="dcterms:W3CDTF">2026-06-10T20:37:00Z</dcterms:created>
  <dcterms:modified xsi:type="dcterms:W3CDTF">2026-06-10T20:37:00Z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2026-06-10T20:37:29Z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4839acfd-0b37-46b7-9f60-89f324d76531</vt:lpwstr>
  </property>
  <property fmtid="{D5CDD505-2E9C-101B-9397-08002B2CF9AE}" pid="7" name="MSIP_Label_defa4170-0d19-0005-0004-bc88714345d2_ActionId">
    <vt:lpwstr>807c5779-edbc-4078-a0a6-01814bcd2bfe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