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18AC" w14:textId="63FB975D" w:rsidR="00012408" w:rsidRDefault="009F0144">
      <w:pPr>
        <w:rPr>
          <w:b/>
        </w:rPr>
      </w:pPr>
      <w:r>
        <w:rPr>
          <w:noProof/>
        </w:rPr>
        <w:drawing>
          <wp:anchor distT="0" distB="0" distL="114300" distR="114300" simplePos="0" relativeHeight="251659264"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05D2E2C5" w:rsidR="00012408" w:rsidRPr="00C45A0F" w:rsidRDefault="005F29F9" w:rsidP="005700D8">
            <w:pPr>
              <w:rPr>
                <w:rFonts w:cs="Arial"/>
              </w:rPr>
            </w:pPr>
            <w:r>
              <w:rPr>
                <w:rFonts w:cs="Arial"/>
              </w:rPr>
              <w:t>Venn Academy</w:t>
            </w:r>
          </w:p>
        </w:tc>
        <w:tc>
          <w:tcPr>
            <w:tcW w:w="4996" w:type="dxa"/>
            <w:gridSpan w:val="2"/>
          </w:tcPr>
          <w:p w14:paraId="79FF2096" w14:textId="25314B98"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EE2A65">
              <w:rPr>
                <w:rFonts w:cs="Arial"/>
              </w:rPr>
              <w:t>Headteacher</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4789061E" w:rsidR="00012408" w:rsidRPr="00C45A0F" w:rsidRDefault="00012408" w:rsidP="008A46D3">
            <w:pPr>
              <w:rPr>
                <w:rFonts w:cs="Arial"/>
              </w:rPr>
            </w:pPr>
            <w:r>
              <w:rPr>
                <w:rFonts w:cs="Arial"/>
              </w:rPr>
              <w:t>Teacher</w:t>
            </w:r>
            <w:bookmarkStart w:id="0" w:name="_GoBack"/>
            <w:bookmarkEnd w:id="0"/>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0C2DBB96"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438F212E" w14:textId="77777777" w:rsidR="00012408" w:rsidRDefault="00012408" w:rsidP="008A46D3">
            <w:pPr>
              <w:rPr>
                <w:rFonts w:cs="Arial"/>
              </w:rPr>
            </w:pPr>
          </w:p>
          <w:p w14:paraId="64F8B448" w14:textId="77777777" w:rsidR="005F29F9" w:rsidRPr="00C45A0F" w:rsidRDefault="005F29F9"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34290E71"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5973C89D" w14:textId="77777777" w:rsidR="00012408" w:rsidRDefault="00012408" w:rsidP="008A46D3">
            <w:pPr>
              <w:rPr>
                <w:rFonts w:cs="Arial"/>
              </w:rPr>
            </w:pPr>
            <w:r>
              <w:rPr>
                <w:rFonts w:cs="Arial"/>
              </w:rPr>
              <w:t>Involves regular lifting, carrying, bending etc.  Occasional outdoor working</w:t>
            </w:r>
          </w:p>
          <w:p w14:paraId="49E41A08" w14:textId="77777777" w:rsidR="00012408" w:rsidRPr="00C45A0F" w:rsidRDefault="00012408" w:rsidP="008A46D3">
            <w:pPr>
              <w:rPr>
                <w:rFonts w:cs="Arial"/>
              </w:rPr>
            </w:pPr>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59122E56" w14:textId="77777777" w:rsidTr="00EE2A65">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EE2A65">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EE2A65">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EE2A65">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EE2A65">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EE2A65">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1E83A963" w14:textId="77777777" w:rsidTr="00EE2A65">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11"/>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3A3C" w14:textId="77777777" w:rsidR="00EE2A65" w:rsidRDefault="00EE2A65" w:rsidP="004C0C61">
      <w:r>
        <w:separator/>
      </w:r>
    </w:p>
  </w:endnote>
  <w:endnote w:type="continuationSeparator" w:id="0">
    <w:p w14:paraId="5C29FC5E" w14:textId="77777777" w:rsidR="00EE2A65" w:rsidRDefault="00EE2A65"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EE2A65" w:rsidRDefault="00EE2A65">
        <w:pPr>
          <w:pStyle w:val="Footer"/>
          <w:jc w:val="center"/>
          <w:rPr>
            <w:noProof/>
          </w:rPr>
        </w:pPr>
        <w:r>
          <w:fldChar w:fldCharType="begin"/>
        </w:r>
        <w:r>
          <w:instrText xml:space="preserve"> PAGE   \* MERGEFORMAT </w:instrText>
        </w:r>
        <w:r>
          <w:fldChar w:fldCharType="separate"/>
        </w:r>
        <w:r>
          <w:rPr>
            <w:noProof/>
          </w:rPr>
          <w:t>8</w:t>
        </w:r>
        <w:r>
          <w:rPr>
            <w:noProof/>
          </w:rPr>
          <w:fldChar w:fldCharType="end"/>
        </w:r>
      </w:p>
      <w:p w14:paraId="4FF4BFB4" w14:textId="77777777" w:rsidR="00EE2A65" w:rsidRPr="00C021D5" w:rsidRDefault="00EE2A65">
        <w:pPr>
          <w:pStyle w:val="Footer"/>
          <w:jc w:val="center"/>
          <w:rPr>
            <w:rFonts w:ascii="Arial" w:hAnsi="Arial" w:cs="Arial"/>
            <w:sz w:val="14"/>
          </w:rPr>
        </w:pPr>
      </w:p>
    </w:sdtContent>
  </w:sdt>
  <w:p w14:paraId="7B6B3314" w14:textId="77777777" w:rsidR="00EE2A65" w:rsidRPr="004C0C61" w:rsidRDefault="00EE2A6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8C89" w14:textId="77777777" w:rsidR="00EE2A65" w:rsidRDefault="00EE2A65" w:rsidP="004C0C61">
      <w:r>
        <w:separator/>
      </w:r>
    </w:p>
  </w:footnote>
  <w:footnote w:type="continuationSeparator" w:id="0">
    <w:p w14:paraId="698350CA" w14:textId="77777777" w:rsidR="00EE2A65" w:rsidRDefault="00EE2A65"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3"/>
  </w:num>
  <w:num w:numId="9">
    <w:abstractNumId w:val="4"/>
  </w:num>
  <w:num w:numId="10">
    <w:abstractNumId w:val="10"/>
  </w:num>
  <w:num w:numId="11">
    <w:abstractNumId w:val="9"/>
  </w:num>
  <w:num w:numId="12">
    <w:abstractNumId w:val="8"/>
  </w:num>
  <w:num w:numId="13">
    <w:abstractNumId w:val="2"/>
  </w:num>
  <w:num w:numId="14">
    <w:abstractNumId w:val="11"/>
  </w:num>
  <w:num w:numId="15">
    <w:abstractNumId w:val="12"/>
  </w:num>
  <w:num w:numId="16">
    <w:abstractNumId w:val="5"/>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94DB2"/>
    <w:rsid w:val="0019633E"/>
    <w:rsid w:val="001A3F89"/>
    <w:rsid w:val="001B2957"/>
    <w:rsid w:val="001E176E"/>
    <w:rsid w:val="001F29E4"/>
    <w:rsid w:val="00201477"/>
    <w:rsid w:val="00205210"/>
    <w:rsid w:val="0025375B"/>
    <w:rsid w:val="00257987"/>
    <w:rsid w:val="00261B36"/>
    <w:rsid w:val="0027299B"/>
    <w:rsid w:val="002A4AB4"/>
    <w:rsid w:val="002D398A"/>
    <w:rsid w:val="002D5165"/>
    <w:rsid w:val="002D5530"/>
    <w:rsid w:val="00317563"/>
    <w:rsid w:val="00330C32"/>
    <w:rsid w:val="003752EB"/>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A5234"/>
    <w:rsid w:val="00AA5F7E"/>
    <w:rsid w:val="00AC7F9F"/>
    <w:rsid w:val="00AD6067"/>
    <w:rsid w:val="00AE1105"/>
    <w:rsid w:val="00B01BA4"/>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2A65"/>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6905CD83F5840B6BBA6D02CD32F16" ma:contentTypeVersion="9" ma:contentTypeDescription="Create a new document." ma:contentTypeScope="" ma:versionID="24190b69b432343414340b584b5d3d42">
  <xsd:schema xmlns:xsd="http://www.w3.org/2001/XMLSchema" xmlns:xs="http://www.w3.org/2001/XMLSchema" xmlns:p="http://schemas.microsoft.com/office/2006/metadata/properties" xmlns:ns2="2fdbb618-e8d4-41c8-a4e0-8c4d7940209d" xmlns:ns3="b60d71f7-e471-4db7-8d65-79614c760775" targetNamespace="http://schemas.microsoft.com/office/2006/metadata/properties" ma:root="true" ma:fieldsID="12ef79a0f6617e6ef3a4f8cbd91e7cd8" ns2:_="" ns3:_="">
    <xsd:import namespace="2fdbb618-e8d4-41c8-a4e0-8c4d7940209d"/>
    <xsd:import namespace="b60d71f7-e471-4db7-8d65-79614c76077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b618-e8d4-41c8-a4e0-8c4d7940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d71f7-e471-4db7-8d65-79614c760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2977E-7E9F-477A-A2D3-67D17835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b618-e8d4-41c8-a4e0-8c4d7940209d"/>
    <ds:schemaRef ds:uri="b60d71f7-e471-4db7-8d65-79614c760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412F0-64C5-41D5-85BF-783A45094663}">
  <ds:schemaRefs>
    <ds:schemaRef ds:uri="http://purl.org/dc/terms/"/>
    <ds:schemaRef ds:uri="2fdbb618-e8d4-41c8-a4e0-8c4d7940209d"/>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60d71f7-e471-4db7-8d65-79614c7607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3F1B45-A4E2-4B0A-9C18-AF28F940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2071</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Bridgeview</dc:title>
  <dc:subject/>
  <dc:creator>Mrs R. Kemp</dc:creator>
  <cp:keywords/>
  <dc:description/>
  <cp:lastModifiedBy>Denny Crossley</cp:lastModifiedBy>
  <cp:revision>2</cp:revision>
  <cp:lastPrinted>2014-10-17T14:09:00Z</cp:lastPrinted>
  <dcterms:created xsi:type="dcterms:W3CDTF">2023-06-06T11:55:00Z</dcterms:created>
  <dcterms:modified xsi:type="dcterms:W3CDTF">2023-06-06T11:55:00Z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0x010100F056905CD83F5840B6BBA6D02CD32F16</vt:lpwstr>
  </property>
</Properties>
</file>