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14" w:rsidRDefault="00462DF7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hidden="0" allowOverlap="1">
            <wp:simplePos x="0" y="0"/>
            <wp:positionH relativeFrom="margin">
              <wp:posOffset>4274185</wp:posOffset>
            </wp:positionH>
            <wp:positionV relativeFrom="margin">
              <wp:align>top</wp:align>
            </wp:positionV>
            <wp:extent cx="855345" cy="1028700"/>
            <wp:effectExtent l="0" t="0" r="0" b="0"/>
            <wp:wrapSquare wrapText="bothSides" distT="36576" distB="36576" distL="36576" distR="36576"/>
            <wp:docPr id="5" name="image1.png" descr="the street shield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treet shield_5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3140710</wp:posOffset>
            </wp:positionH>
            <wp:positionV relativeFrom="topMargin">
              <wp:align>bottom</wp:align>
            </wp:positionV>
            <wp:extent cx="3042285" cy="54102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21471" t="25945" b="14496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54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7114" w:rsidRDefault="00087114"/>
    <w:p w:rsidR="00087114" w:rsidRDefault="00087114"/>
    <w:p w:rsidR="00087114" w:rsidRDefault="00462DF7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>JOB DESCRIPTION</w:t>
      </w:r>
    </w:p>
    <w:p w:rsidR="00087114" w:rsidRDefault="00462DF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Role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Head </w:t>
      </w:r>
      <w:proofErr w:type="gramStart"/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of </w:t>
      </w:r>
      <w:r w:rsidR="009E710E"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 </w:t>
      </w:r>
      <w:r w:rsidR="00836626" w:rsidRPr="007D3994">
        <w:rPr>
          <w:rFonts w:ascii="Cambria" w:eastAsia="Cambria" w:hAnsi="Cambria" w:cs="Cambria"/>
          <w:color w:val="0070C0"/>
          <w:sz w:val="24"/>
          <w:szCs w:val="24"/>
        </w:rPr>
        <w:t>Department</w:t>
      </w:r>
      <w:proofErr w:type="gramEnd"/>
      <w:r w:rsidR="00836626"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 </w:t>
      </w:r>
      <w:r w:rsidR="009E6CEC"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– </w:t>
      </w:r>
      <w:r w:rsidR="00312E67">
        <w:rPr>
          <w:rFonts w:ascii="Cambria" w:eastAsia="Cambria" w:hAnsi="Cambria" w:cs="Cambria"/>
          <w:color w:val="0070C0"/>
          <w:sz w:val="24"/>
          <w:szCs w:val="24"/>
        </w:rPr>
        <w:t>Geography</w:t>
      </w:r>
    </w:p>
    <w:p w:rsidR="00087114" w:rsidRDefault="00462DF7">
      <w:pPr>
        <w:rPr>
          <w:rFonts w:ascii="Cambria" w:eastAsia="Cambria" w:hAnsi="Cambria" w:cs="Cambria"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Grade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="009E6CEC" w:rsidRPr="007D3994">
        <w:rPr>
          <w:rFonts w:ascii="Cambria" w:eastAsia="Cambria" w:hAnsi="Cambria" w:cs="Cambria"/>
          <w:color w:val="0070C0"/>
          <w:sz w:val="24"/>
          <w:szCs w:val="24"/>
        </w:rPr>
        <w:t>TLR 2C</w:t>
      </w:r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 £</w:t>
      </w:r>
      <w:r w:rsidR="0006663E">
        <w:rPr>
          <w:rFonts w:ascii="Cambria" w:eastAsia="Cambria" w:hAnsi="Cambria" w:cs="Cambria"/>
          <w:color w:val="0070C0"/>
          <w:sz w:val="24"/>
          <w:szCs w:val="24"/>
        </w:rPr>
        <w:t>8</w:t>
      </w:r>
      <w:r w:rsidRPr="007D3994">
        <w:rPr>
          <w:rFonts w:ascii="Cambria" w:eastAsia="Cambria" w:hAnsi="Cambria" w:cs="Cambria"/>
          <w:color w:val="0070C0"/>
          <w:sz w:val="24"/>
          <w:szCs w:val="24"/>
        </w:rPr>
        <w:t>,</w:t>
      </w:r>
      <w:r w:rsidR="0006663E">
        <w:rPr>
          <w:rFonts w:ascii="Cambria" w:eastAsia="Cambria" w:hAnsi="Cambria" w:cs="Cambria"/>
          <w:color w:val="0070C0"/>
          <w:sz w:val="24"/>
          <w:szCs w:val="24"/>
        </w:rPr>
        <w:t>222</w:t>
      </w:r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 pa </w:t>
      </w:r>
    </w:p>
    <w:p w:rsidR="00087114" w:rsidRPr="009E710E" w:rsidRDefault="00462DF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Terms/Hours: </w:t>
      </w:r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The duties outlined in this job description are in addition to those covered by the latest School Teachers’ Pay and Conditions document.  They may be modified by the </w:t>
      </w:r>
      <w:proofErr w:type="spellStart"/>
      <w:r w:rsidRPr="007D3994">
        <w:rPr>
          <w:rFonts w:ascii="Cambria" w:eastAsia="Cambria" w:hAnsi="Cambria" w:cs="Cambria"/>
          <w:color w:val="0070C0"/>
          <w:sz w:val="24"/>
          <w:szCs w:val="24"/>
        </w:rPr>
        <w:t>Headteacher</w:t>
      </w:r>
      <w:proofErr w:type="spellEnd"/>
      <w:r w:rsidRPr="007D3994">
        <w:rPr>
          <w:rFonts w:ascii="Cambria" w:eastAsia="Cambria" w:hAnsi="Cambria" w:cs="Cambria"/>
          <w:color w:val="0070C0"/>
          <w:sz w:val="24"/>
          <w:szCs w:val="24"/>
        </w:rPr>
        <w:t xml:space="preserve"> with your agreement, to reflect or anticipate changes in the job commensurate with the salary and job title.</w:t>
      </w:r>
    </w:p>
    <w:p w:rsidR="00087114" w:rsidRPr="009E710E" w:rsidRDefault="00462DF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Reporting to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="009E6CEC" w:rsidRPr="007D3994">
        <w:rPr>
          <w:rFonts w:ascii="Cambria" w:eastAsia="Cambria" w:hAnsi="Cambria" w:cs="Cambria"/>
          <w:color w:val="0070C0"/>
          <w:sz w:val="24"/>
          <w:szCs w:val="24"/>
        </w:rPr>
        <w:t>a member of the Senior Leadership Team</w:t>
      </w:r>
    </w:p>
    <w:p w:rsidR="00087114" w:rsidRDefault="00462DF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____________________________________________________________________________________________________ </w:t>
      </w:r>
    </w:p>
    <w:p w:rsidR="00087114" w:rsidRDefault="00462D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Main purpose and object of the role:</w:t>
      </w:r>
    </w:p>
    <w:p w:rsidR="009E710E" w:rsidRPr="007D3994" w:rsidRDefault="009E710E">
      <w:pPr>
        <w:rPr>
          <w:rFonts w:ascii="Cambria" w:eastAsia="Cambria" w:hAnsi="Cambria" w:cs="Cambria"/>
          <w:color w:val="0070C0"/>
        </w:rPr>
      </w:pPr>
      <w:r w:rsidRPr="007D3994">
        <w:rPr>
          <w:rFonts w:ascii="Cambria" w:eastAsia="Cambria" w:hAnsi="Cambria" w:cs="Cambria"/>
          <w:color w:val="0070C0"/>
        </w:rPr>
        <w:t xml:space="preserve">To </w:t>
      </w:r>
      <w:r w:rsidR="00BE4205" w:rsidRPr="007D3994">
        <w:rPr>
          <w:rFonts w:ascii="Cambria" w:eastAsia="Cambria" w:hAnsi="Cambria" w:cs="Cambria"/>
          <w:color w:val="0070C0"/>
        </w:rPr>
        <w:t xml:space="preserve">have overall responsibility for maximising learning opportunities for all students within the </w:t>
      </w:r>
      <w:r w:rsidR="00AB6332">
        <w:rPr>
          <w:rFonts w:ascii="Cambria" w:eastAsia="Cambria" w:hAnsi="Cambria" w:cs="Cambria"/>
          <w:color w:val="0070C0"/>
        </w:rPr>
        <w:t>Geography</w:t>
      </w:r>
      <w:r w:rsidR="00BE4205" w:rsidRPr="007D3994">
        <w:rPr>
          <w:rFonts w:ascii="Cambria" w:eastAsia="Cambria" w:hAnsi="Cambria" w:cs="Cambria"/>
          <w:color w:val="0070C0"/>
        </w:rPr>
        <w:t>, and to have a positive impact on whole school improvement through the delivery of high quality outcomes in Business Studies, Travel and Tourism.</w:t>
      </w:r>
    </w:p>
    <w:p w:rsidR="00087114" w:rsidRDefault="00462D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Key Responsibilities: </w:t>
      </w:r>
    </w:p>
    <w:p w:rsidR="00BE4205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color w:val="0070C0"/>
        </w:rPr>
      </w:pPr>
      <w:bookmarkStart w:id="0" w:name="_heading=h.gjdgxs" w:colFirst="0" w:colLast="0"/>
      <w:bookmarkEnd w:id="0"/>
      <w:r w:rsidRPr="002F4F89">
        <w:rPr>
          <w:rFonts w:asciiTheme="majorHAnsi" w:hAnsiTheme="majorHAnsi"/>
          <w:b/>
          <w:color w:val="0070C0"/>
        </w:rPr>
        <w:t xml:space="preserve">Setting the Strategic Direction and Development of the </w:t>
      </w:r>
      <w:r w:rsidR="00AB6332">
        <w:rPr>
          <w:rFonts w:asciiTheme="majorHAnsi" w:hAnsiTheme="majorHAnsi"/>
          <w:b/>
          <w:color w:val="0070C0"/>
        </w:rPr>
        <w:t>Geography Dep</w:t>
      </w:r>
      <w:r>
        <w:rPr>
          <w:rFonts w:asciiTheme="majorHAnsi" w:hAnsiTheme="majorHAnsi"/>
          <w:b/>
          <w:color w:val="0070C0"/>
        </w:rPr>
        <w:t xml:space="preserve">artment </w:t>
      </w:r>
      <w:r w:rsidRPr="002F4F89">
        <w:rPr>
          <w:rFonts w:asciiTheme="majorHAnsi" w:hAnsiTheme="majorHAnsi"/>
          <w:b/>
          <w:color w:val="0070C0"/>
        </w:rPr>
        <w:t>through:</w:t>
      </w:r>
    </w:p>
    <w:p w:rsidR="00BE4205" w:rsidRPr="00BE4205" w:rsidRDefault="00BE4205" w:rsidP="00BE4205">
      <w:pPr>
        <w:spacing w:after="0" w:line="240" w:lineRule="auto"/>
        <w:ind w:left="360"/>
        <w:jc w:val="both"/>
        <w:rPr>
          <w:rFonts w:asciiTheme="majorHAnsi" w:hAnsiTheme="majorHAnsi"/>
          <w:b/>
          <w:color w:val="0070C0"/>
        </w:rPr>
      </w:pP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 xml:space="preserve">Articulating a vision for excellence in students’ learning in </w:t>
      </w:r>
      <w:r w:rsidR="00AB6332">
        <w:rPr>
          <w:rFonts w:asciiTheme="majorHAnsi" w:hAnsiTheme="majorHAnsi"/>
          <w:color w:val="0070C0"/>
        </w:rPr>
        <w:t>Geography</w:t>
      </w:r>
      <w:r w:rsidRPr="002F4F89">
        <w:rPr>
          <w:rFonts w:asciiTheme="majorHAnsi" w:hAnsiTheme="majorHAnsi"/>
          <w:color w:val="0070C0"/>
        </w:rPr>
        <w:t xml:space="preserve"> and by gaining the commitment of all staff to the delivery of this vision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Developing policies and practices leading to high quality outcomes for all students at all key stages</w:t>
      </w:r>
    </w:p>
    <w:p w:rsidR="00BE4205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Monitoring the effectiveness of teaching and learning and of systems and practices; evaluating their impact on student progression and thereby identifying further areas for improvement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Ensuring that all practices promote student progression, a positive ethos and the commitment of staff to shared goals</w:t>
      </w:r>
    </w:p>
    <w:p w:rsidR="00BE4205" w:rsidRPr="002F4F89" w:rsidRDefault="00BE4205" w:rsidP="00BE4205">
      <w:pPr>
        <w:jc w:val="both"/>
        <w:rPr>
          <w:rFonts w:asciiTheme="majorHAnsi" w:hAnsiTheme="majorHAnsi"/>
          <w:color w:val="0070C0"/>
        </w:rPr>
      </w:pPr>
    </w:p>
    <w:p w:rsidR="00BE4205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color w:val="0070C0"/>
        </w:rPr>
      </w:pPr>
      <w:r w:rsidRPr="002F4F89">
        <w:rPr>
          <w:rFonts w:asciiTheme="majorHAnsi" w:hAnsiTheme="majorHAnsi"/>
          <w:b/>
          <w:color w:val="0070C0"/>
        </w:rPr>
        <w:t>Impacting Positively on Whole School Improvement through:</w:t>
      </w:r>
    </w:p>
    <w:p w:rsidR="00BE4205" w:rsidRPr="00BE4205" w:rsidRDefault="00BE4205" w:rsidP="00BE4205">
      <w:pPr>
        <w:spacing w:after="0" w:line="240" w:lineRule="auto"/>
        <w:ind w:left="720"/>
        <w:jc w:val="both"/>
        <w:rPr>
          <w:rFonts w:asciiTheme="majorHAnsi" w:hAnsiTheme="majorHAnsi"/>
          <w:b/>
          <w:color w:val="0070C0"/>
        </w:rPr>
      </w:pP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The production of relevant reports/analysis; the contribution of ideas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 xml:space="preserve">Leading whole school improvements in aspects of Teaching and Learning as agreed with the </w:t>
      </w:r>
      <w:proofErr w:type="spellStart"/>
      <w:r w:rsidRPr="002F4F89">
        <w:rPr>
          <w:rFonts w:asciiTheme="majorHAnsi" w:hAnsiTheme="majorHAnsi"/>
          <w:color w:val="0070C0"/>
        </w:rPr>
        <w:t>Headteacher</w:t>
      </w:r>
      <w:proofErr w:type="spellEnd"/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 xml:space="preserve">Supporting other staff in their delivery of improvements in Teaching and Learning as directed by the </w:t>
      </w:r>
      <w:proofErr w:type="spellStart"/>
      <w:r w:rsidRPr="002F4F89">
        <w:rPr>
          <w:rFonts w:asciiTheme="majorHAnsi" w:hAnsiTheme="majorHAnsi"/>
          <w:color w:val="0070C0"/>
        </w:rPr>
        <w:t>Headteacher</w:t>
      </w:r>
      <w:proofErr w:type="spellEnd"/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lastRenderedPageBreak/>
        <w:t>Actively supporting and promoting the school, its students and their achievements</w:t>
      </w:r>
    </w:p>
    <w:p w:rsidR="00BE4205" w:rsidRPr="002F4F89" w:rsidRDefault="00BE4205" w:rsidP="00BE4205">
      <w:pPr>
        <w:ind w:left="1080"/>
        <w:jc w:val="both"/>
        <w:rPr>
          <w:rFonts w:asciiTheme="majorHAnsi" w:hAnsiTheme="majorHAnsi"/>
          <w:color w:val="0070C0"/>
        </w:rPr>
      </w:pPr>
    </w:p>
    <w:p w:rsidR="00BE4205" w:rsidRPr="00BE4205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b/>
          <w:color w:val="0070C0"/>
        </w:rPr>
        <w:t>Leading on Teaching and Learning through:</w:t>
      </w:r>
    </w:p>
    <w:p w:rsidR="00BE4205" w:rsidRDefault="00BE4205" w:rsidP="00BE4205">
      <w:pPr>
        <w:spacing w:after="0" w:line="240" w:lineRule="auto"/>
        <w:ind w:left="720"/>
        <w:jc w:val="both"/>
        <w:rPr>
          <w:rFonts w:asciiTheme="majorHAnsi" w:hAnsiTheme="majorHAnsi"/>
          <w:color w:val="0070C0"/>
        </w:rPr>
      </w:pP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Monitoring and reviewing students’ progress through the use of appropriate data; homework; student interviews; lesson observations; work scrutiny and parental contact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Identifying through Performance Management individual and departmental training needs and ensuring that those needs are met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 xml:space="preserve">Identifying and implementing strategies to improve Teaching and Learning within the </w:t>
      </w:r>
      <w:r w:rsidR="00AB6332">
        <w:rPr>
          <w:rFonts w:asciiTheme="majorHAnsi" w:hAnsiTheme="majorHAnsi"/>
          <w:color w:val="0070C0"/>
        </w:rPr>
        <w:t>Geography</w:t>
      </w:r>
      <w:bookmarkStart w:id="1" w:name="_GoBack"/>
      <w:bookmarkEnd w:id="1"/>
      <w:r>
        <w:rPr>
          <w:rFonts w:asciiTheme="majorHAnsi" w:hAnsiTheme="majorHAnsi"/>
          <w:color w:val="0070C0"/>
        </w:rPr>
        <w:t xml:space="preserve"> </w:t>
      </w:r>
      <w:r w:rsidRPr="002F4F89">
        <w:rPr>
          <w:rFonts w:asciiTheme="majorHAnsi" w:hAnsiTheme="majorHAnsi"/>
          <w:color w:val="0070C0"/>
        </w:rPr>
        <w:t>Department, including the use of new technologies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Modelling good practice in Teaching and Learning at all key stages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Involving external advice and expertise where it would benefit the learning agenda</w:t>
      </w:r>
    </w:p>
    <w:p w:rsidR="00BE4205" w:rsidRPr="002F4F89" w:rsidRDefault="00BE4205" w:rsidP="00BE4205">
      <w:pPr>
        <w:jc w:val="both"/>
        <w:rPr>
          <w:rFonts w:asciiTheme="majorHAnsi" w:hAnsiTheme="majorHAnsi"/>
          <w:color w:val="0070C0"/>
        </w:rPr>
      </w:pPr>
    </w:p>
    <w:p w:rsidR="00BE4205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b/>
          <w:color w:val="0070C0"/>
        </w:rPr>
        <w:t>Leading and Managing Staff through:</w:t>
      </w:r>
    </w:p>
    <w:p w:rsidR="00BE4205" w:rsidRPr="00BE4205" w:rsidRDefault="00BE4205" w:rsidP="00BE4205">
      <w:pPr>
        <w:spacing w:after="0" w:line="240" w:lineRule="auto"/>
        <w:ind w:left="720"/>
        <w:jc w:val="both"/>
        <w:rPr>
          <w:rFonts w:asciiTheme="majorHAnsi" w:hAnsiTheme="majorHAnsi"/>
          <w:color w:val="0070C0"/>
        </w:rPr>
      </w:pP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Setting clear expectations and establishing constructive working relationships amongst all staff including, where appropriate, support staff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 xml:space="preserve">Developing responsibilities and delegating tasks as appropriate 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Engaging in Performance Management as required by the school’s policy and using the process to develop personal and professional effectiveness of self and others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Leading the professional development of departmental staff to enable all members to achieve expertise in Teaching and Learning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Ensuring departmental systems and practices support the school’s Behaviour Management Policy</w:t>
      </w:r>
    </w:p>
    <w:p w:rsidR="00BE4205" w:rsidRPr="002F4F89" w:rsidRDefault="00BE4205" w:rsidP="00BE4205">
      <w:pPr>
        <w:jc w:val="both"/>
        <w:rPr>
          <w:rFonts w:asciiTheme="majorHAnsi" w:hAnsiTheme="majorHAnsi"/>
          <w:color w:val="0070C0"/>
        </w:rPr>
      </w:pPr>
    </w:p>
    <w:p w:rsidR="00BE4205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b/>
          <w:color w:val="0070C0"/>
        </w:rPr>
        <w:t>The Efficient and Effective Deployment of Staff and Resources through:</w:t>
      </w:r>
    </w:p>
    <w:p w:rsidR="00BE4205" w:rsidRPr="00BE4205" w:rsidRDefault="00BE4205" w:rsidP="00BE4205">
      <w:pPr>
        <w:spacing w:after="0" w:line="240" w:lineRule="auto"/>
        <w:ind w:left="720"/>
        <w:jc w:val="both"/>
        <w:rPr>
          <w:rFonts w:asciiTheme="majorHAnsi" w:hAnsiTheme="majorHAnsi"/>
          <w:color w:val="0070C0"/>
        </w:rPr>
      </w:pP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Ensuring the efficient and effective recruitment deployment, management and organisation of staff and learning resources</w:t>
      </w:r>
    </w:p>
    <w:p w:rsidR="00BE4205" w:rsidRPr="002F4F89" w:rsidRDefault="00BE4205" w:rsidP="00BE4205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Ensuring that there is a safe working and learning environment and that accommodation and resources are used to create an effective and stimulating Climate for Learning</w:t>
      </w:r>
    </w:p>
    <w:p w:rsidR="00BE4205" w:rsidRPr="002F4F89" w:rsidRDefault="00BE4205" w:rsidP="00BE4205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>Ensuring value for money and cost-effectiveness in the use of staff and resources</w:t>
      </w:r>
    </w:p>
    <w:p w:rsidR="00BE4205" w:rsidRPr="002F4F89" w:rsidRDefault="00BE4205" w:rsidP="00BE4205">
      <w:pPr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color w:val="0070C0"/>
        </w:rPr>
        <w:tab/>
      </w:r>
    </w:p>
    <w:p w:rsidR="00BE4205" w:rsidRPr="002F4F89" w:rsidRDefault="00BE4205" w:rsidP="00BE420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70C0"/>
        </w:rPr>
      </w:pPr>
      <w:r w:rsidRPr="002F4F89">
        <w:rPr>
          <w:rFonts w:asciiTheme="majorHAnsi" w:hAnsiTheme="majorHAnsi"/>
          <w:b/>
          <w:color w:val="0070C0"/>
        </w:rPr>
        <w:t>Safeguarding of Children and Young People</w:t>
      </w:r>
      <w:r w:rsidRPr="002F4F89">
        <w:rPr>
          <w:rFonts w:asciiTheme="majorHAnsi" w:hAnsiTheme="majorHAnsi"/>
          <w:color w:val="0070C0"/>
        </w:rPr>
        <w:t xml:space="preserve"> </w:t>
      </w:r>
    </w:p>
    <w:p w:rsidR="00BE4205" w:rsidRPr="00F91C5E" w:rsidRDefault="00BE4205" w:rsidP="00BE4205">
      <w:pPr>
        <w:spacing w:after="0" w:line="240" w:lineRule="auto"/>
        <w:ind w:left="720"/>
        <w:jc w:val="both"/>
        <w:rPr>
          <w:rFonts w:asciiTheme="majorHAnsi" w:hAnsiTheme="majorHAnsi"/>
        </w:rPr>
      </w:pPr>
    </w:p>
    <w:p w:rsidR="00087114" w:rsidRDefault="00BE4205" w:rsidP="00BE4205">
      <w:pPr>
        <w:rPr>
          <w:rFonts w:ascii="Cambria" w:eastAsia="Cambria" w:hAnsi="Cambria" w:cs="Cambria"/>
        </w:rPr>
      </w:pPr>
      <w:r>
        <w:rPr>
          <w:rFonts w:asciiTheme="majorHAnsi" w:hAnsiTheme="majorHAnsi"/>
        </w:rPr>
        <w:t xml:space="preserve"> A</w:t>
      </w:r>
      <w:r w:rsidRPr="00F91C5E">
        <w:rPr>
          <w:rFonts w:asciiTheme="majorHAnsi" w:hAnsiTheme="majorHAnsi"/>
        </w:rPr>
        <w:t xml:space="preserve">ny additional duties as reasonably requested by </w:t>
      </w:r>
      <w:proofErr w:type="spellStart"/>
      <w:r w:rsidRPr="00F91C5E">
        <w:rPr>
          <w:rFonts w:asciiTheme="majorHAnsi" w:hAnsiTheme="majorHAnsi"/>
        </w:rPr>
        <w:t>Headteacher</w:t>
      </w:r>
      <w:proofErr w:type="spellEnd"/>
    </w:p>
    <w:sectPr w:rsidR="0008711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540"/>
    <w:multiLevelType w:val="hybridMultilevel"/>
    <w:tmpl w:val="B5A2BD66"/>
    <w:lvl w:ilvl="0" w:tplc="792E7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85AA5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8"/>
        <w:szCs w:val="28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46DE3"/>
    <w:multiLevelType w:val="hybridMultilevel"/>
    <w:tmpl w:val="DB1439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85AA5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46865"/>
    <w:multiLevelType w:val="multilevel"/>
    <w:tmpl w:val="923A5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2D4864"/>
    <w:multiLevelType w:val="multilevel"/>
    <w:tmpl w:val="C36EF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14"/>
    <w:rsid w:val="0006663E"/>
    <w:rsid w:val="00087114"/>
    <w:rsid w:val="00312E67"/>
    <w:rsid w:val="00462DF7"/>
    <w:rsid w:val="0078067B"/>
    <w:rsid w:val="00792962"/>
    <w:rsid w:val="007B5E73"/>
    <w:rsid w:val="007D3994"/>
    <w:rsid w:val="00836626"/>
    <w:rsid w:val="009E6CEC"/>
    <w:rsid w:val="009E710E"/>
    <w:rsid w:val="00AB6332"/>
    <w:rsid w:val="00BE4205"/>
    <w:rsid w:val="00D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FA01"/>
  <w15:docId w15:val="{E8F0931C-F683-49D3-89B0-DFAEA6A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C32AC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wQJkDtkNPjdC6Md5zXX9pwP3g==">AMUW2mV3zkq7rVdjrkFEkOs2ide5BsAwmTHbk+HFGrNfH+VqJd48BHT387YVCcTrnnTNlS3q85gRy37AQBrERiPdjo+v+U8baNQRaeSAGqDt4TnlSfIraqDNeRsv+iyJ8n3YoobWFuH8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Streetly Academy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Plant (Staff)</dc:creator>
  <cp:lastModifiedBy>F Cameron (Staff)</cp:lastModifiedBy>
  <cp:revision>3</cp:revision>
  <cp:lastPrinted>2025-12-09T13:10:00Z</cp:lastPrinted>
  <dcterms:created xsi:type="dcterms:W3CDTF">2026-02-13T14:53:00Z</dcterms:created>
  <dcterms:modified xsi:type="dcterms:W3CDTF">2026-02-13T14:55:00Z</dcterms:modified>
</cp:coreProperties>
</file>