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A7106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1D6E2B" w14:textId="114558B9" w:rsidR="00D77FE0" w:rsidRDefault="004651DA">
      <w:pPr>
        <w:rPr>
          <w:rFonts w:ascii="Arial" w:hAnsi="Arial"/>
          <w:b/>
          <w:bCs/>
          <w:sz w:val="36"/>
          <w:szCs w:val="36"/>
        </w:rPr>
      </w:pPr>
      <w:r w:rsidRPr="004651DA">
        <w:rPr>
          <w:rFonts w:ascii="Arial" w:hAnsi="Arial"/>
          <w:b/>
          <w:bCs/>
          <w:sz w:val="36"/>
          <w:szCs w:val="36"/>
        </w:rPr>
        <w:t>Work Placement Coordinator</w:t>
      </w:r>
      <w:r>
        <w:rPr>
          <w:rFonts w:ascii="Arial" w:hAnsi="Arial"/>
          <w:b/>
          <w:bCs/>
          <w:sz w:val="36"/>
          <w:szCs w:val="36"/>
        </w:rPr>
        <w:t xml:space="preserve"> </w:t>
      </w:r>
      <w:r w:rsidRPr="004651DA">
        <w:rPr>
          <w:rFonts w:ascii="Arial" w:hAnsi="Arial"/>
          <w:b/>
          <w:bCs/>
          <w:sz w:val="36"/>
          <w:szCs w:val="36"/>
        </w:rPr>
        <w:t>Assessor - Early Years</w:t>
      </w:r>
    </w:p>
    <w:p w14:paraId="6F2417FC" w14:textId="21AD36AB" w:rsidR="00CD442E" w:rsidRDefault="00CD442E" w:rsidP="00CD442E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Maternity Cover</w:t>
      </w:r>
    </w:p>
    <w:p w14:paraId="31CC9A39" w14:textId="77777777" w:rsidR="004651DA" w:rsidRPr="004651DA" w:rsidRDefault="004651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42F9095A" w:rsidR="00D77FE0" w:rsidRPr="00D77FE0" w:rsidRDefault="00A71063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D36808">
              <w:rPr>
                <w:rFonts w:ascii="Calibri" w:hAnsi="Calibri"/>
                <w:sz w:val="22"/>
                <w:szCs w:val="22"/>
              </w:rPr>
              <w:t>Work Placement Coordinator Assessor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49A7E165" w:rsidR="00D77FE0" w:rsidRPr="004651DA" w:rsidRDefault="00174C46" w:rsidP="00DA2900">
            <w:pPr>
              <w:rPr>
                <w:rFonts w:ascii="Arial" w:hAnsi="Arial"/>
                <w:sz w:val="22"/>
                <w:szCs w:val="22"/>
              </w:rPr>
            </w:pPr>
            <w:r w:rsidRPr="004651DA"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02CA4B10" w:rsidR="00D77FE0" w:rsidRPr="004651DA" w:rsidRDefault="006D3354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Grade </w:t>
            </w:r>
            <w:r w:rsidR="0024268D">
              <w:rPr>
                <w:rFonts w:ascii="Arial" w:hAnsi="Arial"/>
                <w:sz w:val="22"/>
                <w:szCs w:val="22"/>
              </w:rPr>
              <w:t>7-8</w:t>
            </w: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53BC601A" w:rsidR="00D77FE0" w:rsidRPr="004651DA" w:rsidRDefault="0024268D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18.5</w:t>
            </w:r>
            <w:r w:rsidR="00D77FE0" w:rsidRPr="004651DA">
              <w:rPr>
                <w:rFonts w:ascii="Arial" w:hAnsi="Arial"/>
                <w:sz w:val="22"/>
                <w:szCs w:val="22"/>
              </w:rPr>
              <w:t xml:space="preserve"> hours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6C7497C5" w:rsidR="00D77FE0" w:rsidRPr="004651DA" w:rsidRDefault="009B171B" w:rsidP="00DA2900">
            <w:pPr>
              <w:rPr>
                <w:rFonts w:ascii="Arial" w:hAnsi="Arial"/>
                <w:sz w:val="22"/>
                <w:szCs w:val="22"/>
              </w:rPr>
            </w:pPr>
            <w:r w:rsidRPr="004651DA">
              <w:rPr>
                <w:rFonts w:ascii="Arial" w:hAnsi="Arial"/>
                <w:sz w:val="22"/>
                <w:szCs w:val="22"/>
              </w:rPr>
              <w:t>Tamworth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501F9AC6" w:rsidR="00D77FE0" w:rsidRPr="00D77FE0" w:rsidRDefault="0024268D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</w:t>
            </w:r>
            <w:r w:rsidR="00CD442E">
              <w:rPr>
                <w:rFonts w:ascii="Arial" w:hAnsi="Arial"/>
                <w:sz w:val="22"/>
                <w:szCs w:val="22"/>
              </w:rPr>
              <w:t>145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6D224F34" w14:textId="77777777" w:rsidR="00174C46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7819C7FF" w14:textId="65A0256B" w:rsidR="00174C46" w:rsidRPr="006D3354" w:rsidRDefault="00174C46" w:rsidP="00D77FE0">
            <w:pPr>
              <w:rPr>
                <w:rFonts w:ascii="Arial" w:hAnsi="Arial"/>
                <w:bCs/>
                <w:sz w:val="22"/>
                <w:szCs w:val="22"/>
              </w:rPr>
            </w:pPr>
            <w:r w:rsidRPr="006D3354">
              <w:rPr>
                <w:rFonts w:ascii="Arial" w:hAnsi="Arial"/>
                <w:bCs/>
                <w:sz w:val="22"/>
                <w:szCs w:val="22"/>
              </w:rPr>
              <w:t>To coordinate work experience placements for early years students, including liaising with employers, course tutors and the curriculum manager.</w:t>
            </w:r>
          </w:p>
          <w:p w14:paraId="509E71DF" w14:textId="1E1EE561" w:rsidR="00D77FE0" w:rsidRPr="006D3354" w:rsidRDefault="00174C46" w:rsidP="00D77FE0">
            <w:pPr>
              <w:rPr>
                <w:rFonts w:ascii="Arial" w:hAnsi="Arial"/>
                <w:bCs/>
                <w:sz w:val="22"/>
                <w:szCs w:val="22"/>
                <w:lang w:eastAsia="en-US"/>
              </w:rPr>
            </w:pPr>
            <w:r w:rsidRPr="006D3354">
              <w:rPr>
                <w:rFonts w:ascii="Arial" w:hAnsi="Arial"/>
                <w:bCs/>
                <w:sz w:val="22"/>
                <w:szCs w:val="22"/>
              </w:rPr>
              <w:t xml:space="preserve">Assessing </w:t>
            </w:r>
            <w:proofErr w:type="gramStart"/>
            <w:r w:rsidR="006D3354" w:rsidRPr="006D3354">
              <w:rPr>
                <w:rFonts w:ascii="Arial" w:hAnsi="Arial"/>
                <w:bCs/>
                <w:sz w:val="22"/>
                <w:szCs w:val="22"/>
              </w:rPr>
              <w:t>student’s</w:t>
            </w:r>
            <w:proofErr w:type="gramEnd"/>
            <w:r w:rsidRPr="006D3354">
              <w:rPr>
                <w:rFonts w:ascii="Arial" w:hAnsi="Arial"/>
                <w:bCs/>
                <w:sz w:val="22"/>
                <w:szCs w:val="22"/>
              </w:rPr>
              <w:t xml:space="preserve"> competence in the workplace in order that they make </w:t>
            </w:r>
            <w:r w:rsidR="006D3354" w:rsidRPr="006D3354">
              <w:rPr>
                <w:rFonts w:ascii="Arial" w:hAnsi="Arial"/>
                <w:bCs/>
                <w:sz w:val="22"/>
                <w:szCs w:val="22"/>
              </w:rPr>
              <w:t>progress and</w:t>
            </w:r>
            <w:r w:rsidRPr="006D3354">
              <w:rPr>
                <w:rFonts w:ascii="Arial" w:hAnsi="Arial"/>
                <w:bCs/>
                <w:sz w:val="22"/>
                <w:szCs w:val="22"/>
              </w:rPr>
              <w:t xml:space="preserve"> achieve their qualification</w:t>
            </w:r>
            <w:r w:rsidR="006D335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27AAFCA0" w14:textId="77777777" w:rsidR="00D77FE0" w:rsidRDefault="00D77FE0"/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116429F8" w14:textId="754D4ACB" w:rsidR="004E0C6E" w:rsidRDefault="00D77FE0" w:rsidP="009B171B">
      <w:pPr>
        <w:pStyle w:val="Default"/>
        <w:spacing w:after="27"/>
        <w:rPr>
          <w:sz w:val="22"/>
          <w:szCs w:val="22"/>
        </w:rPr>
      </w:pPr>
      <w:r w:rsidRPr="004E0C6E">
        <w:rPr>
          <w:sz w:val="22"/>
          <w:szCs w:val="22"/>
        </w:rPr>
        <w:t>1</w:t>
      </w:r>
      <w:r w:rsidR="009B171B" w:rsidRPr="004E0C6E">
        <w:rPr>
          <w:sz w:val="22"/>
          <w:szCs w:val="22"/>
        </w:rPr>
        <w:t xml:space="preserve"> To source and place all students who require placement experience in a safe learning environment</w:t>
      </w:r>
      <w:r w:rsidR="004E0C6E">
        <w:rPr>
          <w:sz w:val="22"/>
          <w:szCs w:val="22"/>
        </w:rPr>
        <w:t>, including ensuring all learners have an up-to-date DBS</w:t>
      </w:r>
    </w:p>
    <w:p w14:paraId="5E2C6DEF" w14:textId="3BDDEDCA" w:rsidR="00D77FE0" w:rsidRPr="004E0C6E" w:rsidRDefault="004E0C6E" w:rsidP="004E0C6E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Pr="004E0C6E">
        <w:rPr>
          <w:sz w:val="22"/>
          <w:szCs w:val="22"/>
        </w:rPr>
        <w:t xml:space="preserve">Visiting, monitoring and </w:t>
      </w:r>
      <w:r w:rsidR="00C6305F">
        <w:rPr>
          <w:sz w:val="22"/>
          <w:szCs w:val="22"/>
        </w:rPr>
        <w:t xml:space="preserve">assessing </w:t>
      </w:r>
      <w:r w:rsidRPr="004E0C6E">
        <w:rPr>
          <w:sz w:val="22"/>
          <w:szCs w:val="22"/>
        </w:rPr>
        <w:t>students regularly in the workplace</w:t>
      </w:r>
    </w:p>
    <w:p w14:paraId="574C40B2" w14:textId="17E1791A" w:rsidR="00D77FE0" w:rsidRPr="004E0C6E" w:rsidRDefault="004E0C6E" w:rsidP="004E0C6E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>3</w:t>
      </w:r>
      <w:r w:rsidR="009B171B" w:rsidRPr="004E0C6E">
        <w:rPr>
          <w:sz w:val="22"/>
          <w:szCs w:val="22"/>
        </w:rPr>
        <w:t xml:space="preserve"> The post holder will be expected to monitor and track the students’ progress and report regularly to the curriculum manager</w:t>
      </w:r>
      <w:r w:rsidRPr="004E0C6E">
        <w:rPr>
          <w:sz w:val="22"/>
          <w:szCs w:val="22"/>
        </w:rPr>
        <w:t xml:space="preserve"> and course tutors</w:t>
      </w:r>
      <w:r w:rsidR="009B171B" w:rsidRPr="004E0C6E">
        <w:rPr>
          <w:sz w:val="22"/>
          <w:szCs w:val="22"/>
        </w:rPr>
        <w:t xml:space="preserve"> the progress of the students to ensure all learners achieve their required placement hours in line with the awarding body requirements. </w:t>
      </w:r>
    </w:p>
    <w:p w14:paraId="35F3BEC1" w14:textId="1BDE88E9" w:rsidR="00D77FE0" w:rsidRPr="004E0C6E" w:rsidRDefault="004E0C6E" w:rsidP="004E0C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</w:t>
      </w:r>
      <w:r w:rsidR="009B171B" w:rsidRPr="004E0C6E">
        <w:rPr>
          <w:sz w:val="22"/>
          <w:szCs w:val="22"/>
        </w:rPr>
        <w:t xml:space="preserve"> Provide assessment opportunities based on standards to ensure learner timely success </w:t>
      </w:r>
    </w:p>
    <w:p w14:paraId="15EAA044" w14:textId="7239D5B2" w:rsidR="00D77FE0" w:rsidRPr="004E0C6E" w:rsidRDefault="004E0C6E" w:rsidP="00D77FE0">
      <w:pPr>
        <w:rPr>
          <w:rFonts w:ascii="Arial" w:hAnsi="Arial"/>
        </w:rPr>
      </w:pPr>
      <w:r>
        <w:rPr>
          <w:rFonts w:ascii="Arial" w:hAnsi="Arial"/>
        </w:rPr>
        <w:t xml:space="preserve">5 </w:t>
      </w:r>
      <w:r w:rsidR="009B171B" w:rsidRPr="004E0C6E">
        <w:rPr>
          <w:rFonts w:ascii="Arial" w:hAnsi="Arial"/>
        </w:rPr>
        <w:t>Plan for, and carry out assessment</w:t>
      </w:r>
      <w:r w:rsidRPr="004E0C6E">
        <w:rPr>
          <w:rFonts w:ascii="Arial" w:hAnsi="Arial"/>
        </w:rPr>
        <w:t xml:space="preserve"> in learners’ work placements</w:t>
      </w:r>
      <w:r w:rsidR="009B171B" w:rsidRPr="004E0C6E">
        <w:rPr>
          <w:rFonts w:ascii="Arial" w:hAnsi="Arial"/>
        </w:rPr>
        <w:t xml:space="preserve"> including direct observation, professional discussion and </w:t>
      </w:r>
      <w:r w:rsidRPr="004E0C6E">
        <w:rPr>
          <w:rFonts w:ascii="Arial" w:hAnsi="Arial"/>
        </w:rPr>
        <w:t xml:space="preserve">questioning to make assessment decisions </w:t>
      </w:r>
    </w:p>
    <w:p w14:paraId="43D97603" w14:textId="25C951DA" w:rsidR="00D77FE0" w:rsidRPr="00D77FE0" w:rsidRDefault="004E0C6E" w:rsidP="00D77FE0">
      <w:pPr>
        <w:rPr>
          <w:rFonts w:ascii="Arial" w:hAnsi="Arial"/>
        </w:rPr>
      </w:pPr>
      <w:r>
        <w:rPr>
          <w:rFonts w:ascii="Arial" w:hAnsi="Arial"/>
        </w:rPr>
        <w:t>6 Provide constructive feedback on learner’s performance to inform their progress in their work placement environment</w:t>
      </w:r>
    </w:p>
    <w:p w14:paraId="1A80F347" w14:textId="43371429" w:rsidR="00D77FE0" w:rsidRDefault="00D77FE0" w:rsidP="00D77FE0">
      <w:pPr>
        <w:rPr>
          <w:rFonts w:ascii="Arial" w:hAnsi="Arial"/>
        </w:rPr>
      </w:pPr>
    </w:p>
    <w:p w14:paraId="6001A7EF" w14:textId="77777777" w:rsidR="00D77FE0" w:rsidRDefault="00D77FE0" w:rsidP="00D77FE0">
      <w:pPr>
        <w:rPr>
          <w:rFonts w:ascii="Arial" w:hAnsi="Arial"/>
        </w:rPr>
      </w:pP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47799F59" w:rsidR="00D77FE0" w:rsidRPr="00C8032F" w:rsidRDefault="00D77FE0" w:rsidP="00D77FE0">
      <w:pPr>
        <w:jc w:val="both"/>
        <w:rPr>
          <w:rFonts w:ascii="Arial" w:hAnsi="Arial"/>
          <w:b/>
        </w:rPr>
      </w:pPr>
      <w:r w:rsidRPr="00C8032F">
        <w:rPr>
          <w:rFonts w:ascii="Arial" w:hAnsi="Arial"/>
          <w:b/>
        </w:rPr>
        <w:t xml:space="preserve">Other Duties and Responsibilities  </w:t>
      </w:r>
      <w:r w:rsidRPr="00C8032F">
        <w:rPr>
          <w:rFonts w:ascii="Arial" w:hAnsi="Arial"/>
          <w:b/>
        </w:rPr>
        <w:tab/>
      </w:r>
    </w:p>
    <w:p w14:paraId="522EA51B" w14:textId="77777777" w:rsidR="00D77FE0" w:rsidRPr="00C8032F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C8032F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C8032F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C8032F" w:rsidRDefault="00D77FE0" w:rsidP="00D77FE0">
      <w:pPr>
        <w:ind w:left="360"/>
        <w:rPr>
          <w:rFonts w:ascii="Arial" w:hAnsi="Arial"/>
        </w:rPr>
      </w:pPr>
    </w:p>
    <w:p w14:paraId="17E160E9" w14:textId="1BE27BA2" w:rsidR="00D77FE0" w:rsidRPr="00C8032F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C8032F">
        <w:rPr>
          <w:rFonts w:ascii="Arial" w:hAnsi="Arial"/>
          <w:bCs/>
        </w:rPr>
        <w:t>To carry out any other duties as directed by your Line Manager.</w:t>
      </w:r>
    </w:p>
    <w:p w14:paraId="52C19323" w14:textId="77777777" w:rsidR="004E0C6E" w:rsidRDefault="004E0C6E" w:rsidP="004E0C6E">
      <w:pPr>
        <w:pStyle w:val="ListParagraph"/>
        <w:rPr>
          <w:rFonts w:ascii="Arial" w:hAnsi="Arial"/>
          <w:highlight w:val="yellow"/>
        </w:rPr>
      </w:pPr>
    </w:p>
    <w:p w14:paraId="67367CDB" w14:textId="77777777" w:rsidR="004E0C6E" w:rsidRPr="00145101" w:rsidRDefault="004E0C6E" w:rsidP="00174C46">
      <w:pPr>
        <w:pStyle w:val="Default"/>
        <w:numPr>
          <w:ilvl w:val="0"/>
          <w:numId w:val="1"/>
        </w:numPr>
        <w:spacing w:after="25"/>
        <w:rPr>
          <w:sz w:val="22"/>
          <w:szCs w:val="22"/>
        </w:rPr>
      </w:pPr>
      <w:r w:rsidRPr="00145101">
        <w:rPr>
          <w:sz w:val="22"/>
          <w:szCs w:val="22"/>
        </w:rPr>
        <w:t xml:space="preserve">Identifying and arranging suitable practical placements for students. </w:t>
      </w:r>
    </w:p>
    <w:p w14:paraId="3060C0EA" w14:textId="77777777" w:rsidR="004E0C6E" w:rsidRPr="00145101" w:rsidRDefault="004E0C6E" w:rsidP="00174C46">
      <w:pPr>
        <w:pStyle w:val="Default"/>
        <w:numPr>
          <w:ilvl w:val="0"/>
          <w:numId w:val="1"/>
        </w:numPr>
        <w:spacing w:after="25"/>
        <w:rPr>
          <w:sz w:val="22"/>
          <w:szCs w:val="22"/>
        </w:rPr>
      </w:pPr>
      <w:r w:rsidRPr="00145101">
        <w:rPr>
          <w:sz w:val="22"/>
          <w:szCs w:val="22"/>
        </w:rPr>
        <w:t xml:space="preserve">Visiting, monitoring and reviewing students regularly in the workplace. </w:t>
      </w:r>
    </w:p>
    <w:p w14:paraId="0AD5A54E" w14:textId="77777777" w:rsidR="004E0C6E" w:rsidRPr="00D36808" w:rsidRDefault="004E0C6E" w:rsidP="00174C46">
      <w:pPr>
        <w:pStyle w:val="Default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145101">
        <w:rPr>
          <w:sz w:val="22"/>
          <w:szCs w:val="22"/>
        </w:rPr>
        <w:lastRenderedPageBreak/>
        <w:t>Conduct assessment of learner suitability for programmes including vocational assessment against job role, current skills and qualification requirements</w:t>
      </w:r>
      <w:r w:rsidRPr="00D36808">
        <w:rPr>
          <w:rFonts w:ascii="Calibri" w:hAnsi="Calibri"/>
          <w:sz w:val="22"/>
          <w:szCs w:val="22"/>
        </w:rPr>
        <w:t xml:space="preserve">. </w:t>
      </w:r>
    </w:p>
    <w:p w14:paraId="41336213" w14:textId="79B023F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Liaising closely with the Curriculum Manager and Course tutors regarding </w:t>
      </w:r>
      <w:r>
        <w:rPr>
          <w:sz w:val="22"/>
          <w:szCs w:val="22"/>
        </w:rPr>
        <w:t>learners</w:t>
      </w:r>
      <w:r w:rsidRPr="004E0C6E">
        <w:rPr>
          <w:sz w:val="22"/>
          <w:szCs w:val="22"/>
        </w:rPr>
        <w:t xml:space="preserve">’ progress, welfare and attendance </w:t>
      </w:r>
      <w:r>
        <w:rPr>
          <w:sz w:val="22"/>
          <w:szCs w:val="22"/>
        </w:rPr>
        <w:t>to work placement</w:t>
      </w:r>
    </w:p>
    <w:p w14:paraId="6B464A57" w14:textId="29E852C4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Keeping </w:t>
      </w:r>
      <w:r>
        <w:rPr>
          <w:sz w:val="22"/>
          <w:szCs w:val="22"/>
        </w:rPr>
        <w:t>tracking</w:t>
      </w:r>
      <w:r w:rsidRPr="004E0C6E">
        <w:rPr>
          <w:sz w:val="22"/>
          <w:szCs w:val="22"/>
        </w:rPr>
        <w:t xml:space="preserve"> up to date regarding workplace attendance</w:t>
      </w:r>
      <w:r>
        <w:rPr>
          <w:sz w:val="22"/>
          <w:szCs w:val="22"/>
        </w:rPr>
        <w:t xml:space="preserve"> and progress</w:t>
      </w:r>
    </w:p>
    <w:p w14:paraId="029EEAD6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Completing appropriate documentation and updating profiles and records of students as appropriate. </w:t>
      </w:r>
    </w:p>
    <w:p w14:paraId="25A3D7B4" w14:textId="2801122F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>
        <w:rPr>
          <w:sz w:val="22"/>
          <w:szCs w:val="22"/>
        </w:rPr>
        <w:t>Attend meetings with employers as necessary</w:t>
      </w:r>
    </w:p>
    <w:p w14:paraId="4CCB66CA" w14:textId="50224D53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Representing the College in promoting the value of a </w:t>
      </w:r>
      <w:r w:rsidR="006D3354" w:rsidRPr="004E0C6E">
        <w:rPr>
          <w:sz w:val="22"/>
          <w:szCs w:val="22"/>
        </w:rPr>
        <w:t>well-trained</w:t>
      </w:r>
      <w:r w:rsidRPr="004E0C6E">
        <w:rPr>
          <w:sz w:val="22"/>
          <w:szCs w:val="22"/>
        </w:rPr>
        <w:t xml:space="preserve"> workforce and assisting organisations in assessing their training needs. </w:t>
      </w:r>
    </w:p>
    <w:p w14:paraId="3233449A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Contributing to marketing the College’s programmes </w:t>
      </w:r>
    </w:p>
    <w:p w14:paraId="73DB8D07" w14:textId="5BB3F5BB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Ensure all students have current and enhanced DBS clearance. </w:t>
      </w:r>
    </w:p>
    <w:p w14:paraId="48BE3184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Undertake and keep up to date risk assessments, in line with the Health and Safety Policy for each of the placements that South Staffordshire College uses. </w:t>
      </w:r>
    </w:p>
    <w:p w14:paraId="437E650D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Carry out assessment practice in relation to plans, awarding body and college standards </w:t>
      </w:r>
    </w:p>
    <w:p w14:paraId="62F7843A" w14:textId="63FD2795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Use resources both </w:t>
      </w:r>
      <w:r w:rsidR="006D3354" w:rsidRPr="004E0C6E">
        <w:rPr>
          <w:sz w:val="22"/>
          <w:szCs w:val="22"/>
        </w:rPr>
        <w:t>paper based</w:t>
      </w:r>
      <w:r w:rsidRPr="004E0C6E">
        <w:rPr>
          <w:sz w:val="22"/>
          <w:szCs w:val="22"/>
        </w:rPr>
        <w:t xml:space="preserve"> and IT based for assessors to use as best practice </w:t>
      </w:r>
    </w:p>
    <w:p w14:paraId="4C98A379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Ensure and monitor fair access to assessment and report to line manager any areas of concern </w:t>
      </w:r>
    </w:p>
    <w:p w14:paraId="16C44335" w14:textId="77777777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 xml:space="preserve">Work effectively with team members to ensure consistent and timely practice </w:t>
      </w:r>
    </w:p>
    <w:p w14:paraId="02531177" w14:textId="4073870D" w:rsidR="004E0C6E" w:rsidRPr="004E0C6E" w:rsidRDefault="004E0C6E" w:rsidP="004E0C6E">
      <w:pPr>
        <w:pStyle w:val="Default"/>
        <w:numPr>
          <w:ilvl w:val="0"/>
          <w:numId w:val="7"/>
        </w:numPr>
        <w:spacing w:after="25"/>
        <w:rPr>
          <w:sz w:val="22"/>
          <w:szCs w:val="22"/>
        </w:rPr>
      </w:pPr>
      <w:r w:rsidRPr="004E0C6E">
        <w:rPr>
          <w:sz w:val="22"/>
          <w:szCs w:val="22"/>
        </w:rPr>
        <w:t>Participate in team meetings including standardi</w:t>
      </w:r>
      <w:r w:rsidR="005C5A0D">
        <w:rPr>
          <w:sz w:val="22"/>
          <w:szCs w:val="22"/>
        </w:rPr>
        <w:t>s</w:t>
      </w:r>
      <w:r w:rsidRPr="004E0C6E">
        <w:rPr>
          <w:sz w:val="22"/>
          <w:szCs w:val="22"/>
        </w:rPr>
        <w:t xml:space="preserve">ation, performance, quality and communication meetings </w:t>
      </w:r>
    </w:p>
    <w:p w14:paraId="47D1A11A" w14:textId="1590252B" w:rsidR="004E0C6E" w:rsidRPr="004E0C6E" w:rsidRDefault="004E0C6E" w:rsidP="004E0C6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4E0C6E">
        <w:rPr>
          <w:sz w:val="22"/>
          <w:szCs w:val="22"/>
        </w:rPr>
        <w:t xml:space="preserve">Participate in the Course Tutors’ Assessment of learner progress </w:t>
      </w:r>
      <w:r w:rsidR="005C5A0D">
        <w:rPr>
          <w:sz w:val="22"/>
          <w:szCs w:val="22"/>
        </w:rPr>
        <w:t>and</w:t>
      </w:r>
      <w:r w:rsidRPr="004E0C6E">
        <w:rPr>
          <w:sz w:val="22"/>
          <w:szCs w:val="22"/>
        </w:rPr>
        <w:t xml:space="preserve"> </w:t>
      </w:r>
      <w:r w:rsidR="005C5A0D">
        <w:rPr>
          <w:sz w:val="22"/>
          <w:szCs w:val="22"/>
        </w:rPr>
        <w:t>e</w:t>
      </w:r>
      <w:r w:rsidRPr="004E0C6E">
        <w:rPr>
          <w:sz w:val="22"/>
          <w:szCs w:val="22"/>
        </w:rPr>
        <w:t xml:space="preserve">nsure that actions are carried out within timescales to ensure learners are on target for timely completion of qualifications </w:t>
      </w:r>
    </w:p>
    <w:p w14:paraId="501E35FE" w14:textId="77777777" w:rsidR="004E0C6E" w:rsidRPr="00D36808" w:rsidRDefault="004E0C6E" w:rsidP="004E0C6E">
      <w:pPr>
        <w:pStyle w:val="BodyText2"/>
        <w:rPr>
          <w:rFonts w:ascii="Calibri" w:hAnsi="Calibri" w:cs="Arial"/>
          <w:b/>
          <w:sz w:val="22"/>
          <w:szCs w:val="22"/>
        </w:rPr>
      </w:pPr>
    </w:p>
    <w:p w14:paraId="5AADA5E1" w14:textId="77777777" w:rsidR="004E0C6E" w:rsidRPr="001D12D4" w:rsidRDefault="004E0C6E" w:rsidP="004E0C6E">
      <w:pPr>
        <w:ind w:left="360"/>
        <w:rPr>
          <w:rFonts w:ascii="Arial" w:hAnsi="Arial"/>
          <w:highlight w:val="yellow"/>
        </w:rPr>
      </w:pPr>
    </w:p>
    <w:p w14:paraId="3C4F9726" w14:textId="77777777" w:rsidR="00D77FE0" w:rsidRPr="00324233" w:rsidRDefault="00D77FE0" w:rsidP="00D77FE0">
      <w:pPr>
        <w:rPr>
          <w:rFonts w:ascii="Arial" w:hAnsi="Arial"/>
          <w:b/>
        </w:rPr>
      </w:pPr>
    </w:p>
    <w:p w14:paraId="546668BE" w14:textId="77777777" w:rsidR="00D77FE0" w:rsidRPr="00C8032F" w:rsidRDefault="00D77FE0" w:rsidP="00D77FE0">
      <w:pPr>
        <w:rPr>
          <w:rFonts w:ascii="Arial" w:hAnsi="Arial"/>
          <w:b/>
        </w:rPr>
      </w:pPr>
      <w:r w:rsidRPr="00C8032F">
        <w:rPr>
          <w:rFonts w:ascii="Arial" w:hAnsi="Arial"/>
          <w:b/>
        </w:rPr>
        <w:t>Safeguarding</w:t>
      </w:r>
    </w:p>
    <w:p w14:paraId="77CD15FD" w14:textId="77777777" w:rsidR="00D77FE0" w:rsidRPr="00C8032F" w:rsidRDefault="00D77FE0" w:rsidP="00D77FE0">
      <w:pPr>
        <w:rPr>
          <w:rFonts w:ascii="Arial" w:hAnsi="Arial"/>
          <w:b/>
        </w:rPr>
      </w:pPr>
    </w:p>
    <w:p w14:paraId="11D18A5E" w14:textId="1FE2F8DE" w:rsidR="00D77FE0" w:rsidRPr="00324233" w:rsidRDefault="00D77FE0" w:rsidP="00D77FE0">
      <w:pPr>
        <w:jc w:val="both"/>
        <w:rPr>
          <w:rFonts w:ascii="Arial" w:hAnsi="Arial"/>
        </w:rPr>
      </w:pPr>
      <w:r w:rsidRPr="00C8032F">
        <w:rPr>
          <w:rFonts w:ascii="Arial" w:hAnsi="Arial"/>
          <w:b/>
        </w:rPr>
        <w:t>The College considers that the job holder for this role should have a DBS Enhanced disclosure</w:t>
      </w:r>
    </w:p>
    <w:p w14:paraId="3C9E2868" w14:textId="05F8EF71" w:rsidR="00D77FE0" w:rsidRDefault="00D77FE0" w:rsidP="00D77FE0"/>
    <w:p w14:paraId="27B76C9C" w14:textId="77777777" w:rsidR="00D77FE0" w:rsidRPr="00D77FE0" w:rsidRDefault="00D77FE0" w:rsidP="00D77FE0">
      <w:pPr>
        <w:jc w:val="both"/>
        <w:rPr>
          <w:rFonts w:ascii="Arial" w:hAnsi="Arial"/>
          <w:b/>
        </w:rPr>
      </w:pPr>
      <w:r w:rsidRPr="00D77FE0">
        <w:rPr>
          <w:rFonts w:ascii="Arial" w:hAnsi="Arial"/>
          <w:b/>
        </w:rPr>
        <w:t xml:space="preserve">Please use the following headings to describe the </w:t>
      </w:r>
      <w:proofErr w:type="gramStart"/>
      <w:r w:rsidRPr="00D77FE0">
        <w:rPr>
          <w:rFonts w:ascii="Arial" w:hAnsi="Arial"/>
          <w:b/>
        </w:rPr>
        <w:t>detail</w:t>
      </w:r>
      <w:proofErr w:type="gramEnd"/>
      <w:r w:rsidRPr="00D77FE0">
        <w:rPr>
          <w:rFonts w:ascii="Arial" w:hAnsi="Arial"/>
          <w:b/>
        </w:rPr>
        <w:t xml:space="preserve"> of the duties and responsibilities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539BA24C" w14:textId="468AB738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Contribute to parents’ evenings, </w:t>
            </w:r>
            <w:r w:rsidR="00C6305F">
              <w:rPr>
                <w:rFonts w:ascii="Arial" w:hAnsi="Arial" w:cs="Arial"/>
                <w:sz w:val="22"/>
                <w:szCs w:val="22"/>
                <w:lang w:val="en-US"/>
              </w:rPr>
              <w:t xml:space="preserve">IAG, </w:t>
            </w: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open events, taster events and any other marketing events </w:t>
            </w:r>
          </w:p>
          <w:p w14:paraId="5A9FEF01" w14:textId="7AB463B6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Explain procedures, regulations and course entry requirements to students, parents, guardians and careers when required </w:t>
            </w:r>
          </w:p>
          <w:p w14:paraId="0A94BC98" w14:textId="3F3EB1BA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Maintain accurate student records using College to </w:t>
            </w:r>
            <w:proofErr w:type="spellStart"/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>maximise</w:t>
            </w:r>
            <w:proofErr w:type="spellEnd"/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 outcomes of the students and course </w:t>
            </w:r>
          </w:p>
          <w:p w14:paraId="21347D4A" w14:textId="6334F71F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Communicate effectively during team meetings, liaise with colleagues and ensure each system and procedure runs smoothly and methodically </w:t>
            </w:r>
          </w:p>
          <w:p w14:paraId="0C67A02B" w14:textId="7939833E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>Use various forms of communication, media</w:t>
            </w:r>
            <w:proofErr w:type="gramStart"/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>, technology</w:t>
            </w:r>
            <w:proofErr w:type="gramEnd"/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 to assess learners in their work placement </w:t>
            </w:r>
          </w:p>
          <w:p w14:paraId="6FB6FFDE" w14:textId="6B5E8401" w:rsidR="004D1FC9" w:rsidRPr="004D1FC9" w:rsidRDefault="004D1FC9" w:rsidP="00D77FE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 w:cs="Arial"/>
                <w:sz w:val="22"/>
                <w:szCs w:val="22"/>
                <w:lang w:val="en-US"/>
              </w:rPr>
              <w:t xml:space="preserve">Communicate with stakeholders/customers/employers timely, oral and written </w:t>
            </w:r>
          </w:p>
          <w:p w14:paraId="533B27BD" w14:textId="77777777" w:rsidR="004D1FC9" w:rsidRPr="004D1FC9" w:rsidRDefault="004D1FC9" w:rsidP="004D1FC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/>
                <w:sz w:val="22"/>
                <w:szCs w:val="22"/>
              </w:rPr>
              <w:t xml:space="preserve">Participate in recruitment assessment days with potential students · </w:t>
            </w:r>
          </w:p>
          <w:p w14:paraId="33C29C35" w14:textId="4BEF7140" w:rsidR="004D1FC9" w:rsidRPr="004D1FC9" w:rsidRDefault="004D1FC9" w:rsidP="004D1FC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/>
                <w:sz w:val="22"/>
                <w:szCs w:val="22"/>
              </w:rPr>
              <w:lastRenderedPageBreak/>
              <w:t xml:space="preserve">Presents information which has a positive impact on students, colleagues and key stakeholders  </w:t>
            </w:r>
          </w:p>
          <w:p w14:paraId="263B3FE9" w14:textId="3BD86F7B" w:rsidR="00D77FE0" w:rsidRPr="004D1FC9" w:rsidRDefault="004D1FC9" w:rsidP="004D1FC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D1FC9">
              <w:rPr>
                <w:rFonts w:ascii="Arial" w:hAnsi="Arial"/>
                <w:sz w:val="22"/>
                <w:szCs w:val="22"/>
              </w:rPr>
              <w:t xml:space="preserve">Actively promote Equality and Diversity/British Values </w:t>
            </w:r>
          </w:p>
        </w:tc>
      </w:tr>
      <w:tr w:rsidR="00ED6F0F" w:rsidRPr="00D77FE0" w14:paraId="22B5BE21" w14:textId="77777777" w:rsidTr="00DA2900">
        <w:tc>
          <w:tcPr>
            <w:tcW w:w="2669" w:type="dxa"/>
          </w:tcPr>
          <w:p w14:paraId="52C7922E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7B515A75" w14:textId="217B3B37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</w:t>
            </w:r>
            <w:r w:rsidR="00C6305F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r w:rsidRPr="00942982">
              <w:rPr>
                <w:rFonts w:ascii="Arial" w:hAnsi="Arial" w:cs="Arial"/>
                <w:sz w:val="22"/>
                <w:szCs w:val="22"/>
              </w:rPr>
              <w:t>of Faculty</w:t>
            </w:r>
          </w:p>
          <w:p w14:paraId="7B0826EC" w14:textId="77777777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02CA25A6" w14:textId="77777777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11F95D5F" w14:textId="65BA14D9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Contribute to the quality of the provision by engaging </w:t>
            </w:r>
            <w:r>
              <w:rPr>
                <w:rFonts w:ascii="Arial" w:hAnsi="Arial" w:cs="Arial"/>
                <w:sz w:val="22"/>
                <w:szCs w:val="22"/>
              </w:rPr>
              <w:t>in quality processes</w:t>
            </w:r>
          </w:p>
          <w:p w14:paraId="267FC727" w14:textId="77777777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0F07DB25" w14:textId="0FF9302E" w:rsidR="00ED6F0F" w:rsidRPr="00942982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Motivate </w:t>
            </w:r>
            <w:r>
              <w:rPr>
                <w:rFonts w:ascii="Arial" w:hAnsi="Arial" w:cs="Arial"/>
                <w:sz w:val="22"/>
                <w:szCs w:val="22"/>
              </w:rPr>
              <w:t>learners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to achieve </w:t>
            </w:r>
            <w:r>
              <w:rPr>
                <w:rFonts w:ascii="Arial" w:hAnsi="Arial" w:cs="Arial"/>
                <w:sz w:val="22"/>
                <w:szCs w:val="22"/>
              </w:rPr>
              <w:t>their deadlines</w:t>
            </w:r>
          </w:p>
          <w:p w14:paraId="4D3FC6AD" w14:textId="77777777" w:rsidR="00ED6F0F" w:rsidRPr="004D1FC9" w:rsidRDefault="00ED6F0F" w:rsidP="00ED6F0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4582BC96" w14:textId="77777777" w:rsidTr="00DA2900">
        <w:tc>
          <w:tcPr>
            <w:tcW w:w="2669" w:type="dxa"/>
          </w:tcPr>
          <w:p w14:paraId="314BC551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518C5E10" w14:textId="7A4C926E" w:rsidR="00ED6F0F" w:rsidRPr="009D09E4" w:rsidRDefault="00ED6F0F" w:rsidP="00ED6F0F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 xml:space="preserve">Maintain links with employers and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>course tutors</w:t>
            </w:r>
            <w:r w:rsidRPr="009D09E4">
              <w:rPr>
                <w:rFonts w:ascii="Arial" w:hAnsi="Arial"/>
                <w:sz w:val="22"/>
                <w:szCs w:val="22"/>
                <w:lang w:val="en-GB"/>
              </w:rPr>
              <w:t xml:space="preserve"> to support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learner </w:t>
            </w:r>
            <w:r w:rsidRPr="009D09E4">
              <w:rPr>
                <w:rFonts w:ascii="Arial" w:hAnsi="Arial"/>
                <w:sz w:val="22"/>
                <w:szCs w:val="22"/>
                <w:lang w:val="en-GB"/>
              </w:rPr>
              <w:t>progression and welfare</w:t>
            </w:r>
          </w:p>
          <w:p w14:paraId="110161AF" w14:textId="09B56BD8" w:rsidR="00ED6F0F" w:rsidRPr="009D09E4" w:rsidRDefault="00ED6F0F" w:rsidP="00ED6F0F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 xml:space="preserve">Liaise with </w:t>
            </w:r>
            <w:r>
              <w:rPr>
                <w:rFonts w:ascii="Arial" w:hAnsi="Arial"/>
                <w:sz w:val="22"/>
                <w:szCs w:val="22"/>
                <w:lang w:val="en-GB"/>
              </w:rPr>
              <w:t xml:space="preserve">IQA </w:t>
            </w:r>
            <w:r w:rsidRPr="009D09E4">
              <w:rPr>
                <w:rFonts w:ascii="Arial" w:hAnsi="Arial"/>
                <w:sz w:val="22"/>
                <w:szCs w:val="22"/>
                <w:lang w:val="en-GB"/>
              </w:rPr>
              <w:t>when organising samples for verification.</w:t>
            </w:r>
          </w:p>
          <w:p w14:paraId="42DD7949" w14:textId="24212BF5" w:rsidR="00ED6F0F" w:rsidRPr="00ED6F0F" w:rsidRDefault="00ED6F0F" w:rsidP="00ED6F0F">
            <w:pPr>
              <w:numPr>
                <w:ilvl w:val="0"/>
                <w:numId w:val="2"/>
              </w:numPr>
              <w:rPr>
                <w:rFonts w:ascii="Arial" w:hAnsi="Arial"/>
                <w:sz w:val="22"/>
                <w:szCs w:val="22"/>
                <w:lang w:val="en-GB"/>
              </w:rPr>
            </w:pPr>
            <w:r w:rsidRPr="009D09E4">
              <w:rPr>
                <w:rFonts w:ascii="Arial" w:hAnsi="Arial"/>
                <w:sz w:val="22"/>
                <w:szCs w:val="22"/>
                <w:lang w:val="en-GB"/>
              </w:rPr>
              <w:t>Liaise with companies / organisations when planning visits</w:t>
            </w:r>
          </w:p>
        </w:tc>
      </w:tr>
      <w:tr w:rsidR="00ED6F0F" w:rsidRPr="00D77FE0" w14:paraId="660740E5" w14:textId="77777777" w:rsidTr="00DA2900">
        <w:tc>
          <w:tcPr>
            <w:tcW w:w="2669" w:type="dxa"/>
          </w:tcPr>
          <w:p w14:paraId="4389A2E1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6511C61B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75E9E208" w14:textId="66A1DE56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nsuring you have alternative options </w:t>
            </w:r>
            <w:r>
              <w:rPr>
                <w:rFonts w:ascii="Arial" w:hAnsi="Arial" w:cs="Arial"/>
                <w:sz w:val="22"/>
                <w:szCs w:val="22"/>
              </w:rPr>
              <w:t>should you be unavailable to attend visits</w:t>
            </w:r>
          </w:p>
          <w:p w14:paraId="28914026" w14:textId="1D2A264B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Respond to requests for information from </w:t>
            </w:r>
            <w:r>
              <w:rPr>
                <w:rFonts w:ascii="Arial" w:hAnsi="Arial" w:cs="Arial"/>
                <w:sz w:val="22"/>
                <w:szCs w:val="22"/>
              </w:rPr>
              <w:t>employers</w:t>
            </w:r>
          </w:p>
          <w:p w14:paraId="6756B35D" w14:textId="1E959349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>
              <w:rPr>
                <w:rFonts w:ascii="Arial" w:hAnsi="Arial" w:cs="Arial"/>
                <w:sz w:val="22"/>
                <w:szCs w:val="22"/>
              </w:rPr>
              <w:t>assessment and feedback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is delivered to the </w:t>
            </w:r>
            <w:r w:rsidR="00C8032F" w:rsidRPr="009D09E4">
              <w:rPr>
                <w:rFonts w:ascii="Arial" w:hAnsi="Arial" w:cs="Arial"/>
                <w:sz w:val="22"/>
                <w:szCs w:val="22"/>
              </w:rPr>
              <w:t>organisation’s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3A6A28" w14:textId="77777777" w:rsidR="00ED6F0F" w:rsidRPr="00ED6F0F" w:rsidRDefault="00ED6F0F" w:rsidP="00ED6F0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21DEB284" w14:textId="77777777" w:rsidTr="00DA2900">
        <w:tc>
          <w:tcPr>
            <w:tcW w:w="2669" w:type="dxa"/>
          </w:tcPr>
          <w:p w14:paraId="3F516C28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5D49EBE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8DAC2C0" w14:textId="7384A7AE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Develop robust planning that will aid </w:t>
            </w:r>
            <w:r>
              <w:rPr>
                <w:rFonts w:ascii="Arial" w:hAnsi="Arial" w:cs="Arial"/>
                <w:sz w:val="22"/>
                <w:szCs w:val="22"/>
              </w:rPr>
              <w:t>assessment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across the provision</w:t>
            </w:r>
          </w:p>
          <w:p w14:paraId="5B6E36E2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31AF01A4" w14:textId="77777777" w:rsidR="00ED6F0F" w:rsidRPr="00ED6F0F" w:rsidRDefault="00ED6F0F" w:rsidP="00ED6F0F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D6F0F" w:rsidRPr="00D77FE0" w14:paraId="4BC3D728" w14:textId="77777777" w:rsidTr="00DA2900">
        <w:tc>
          <w:tcPr>
            <w:tcW w:w="2669" w:type="dxa"/>
          </w:tcPr>
          <w:p w14:paraId="777345CB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52A7210B" w14:textId="5758B0FE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>
              <w:rPr>
                <w:rFonts w:ascii="Arial" w:hAnsi="Arial" w:cs="Arial"/>
                <w:sz w:val="22"/>
                <w:szCs w:val="22"/>
              </w:rPr>
              <w:t>the assessment processes are completed in a timely way</w:t>
            </w:r>
          </w:p>
          <w:p w14:paraId="70AB82C0" w14:textId="4C22FD7E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Produce</w:t>
            </w:r>
            <w:r w:rsidR="00C630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assessment plans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C40532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73FF7BBE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2B3B1353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14610ED4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6A828CEA" w14:textId="77777777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lastRenderedPageBreak/>
              <w:t xml:space="preserve">Promote high expectations of students learning </w:t>
            </w:r>
          </w:p>
          <w:p w14:paraId="2D64EC2A" w14:textId="3479A7EA" w:rsidR="00ED6F0F" w:rsidRPr="009D09E4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Set challenging targets to ensure students are achieving to their highest potential </w:t>
            </w:r>
          </w:p>
          <w:p w14:paraId="1C4986C4" w14:textId="77777777" w:rsidR="00ED6F0F" w:rsidRPr="00ED6F0F" w:rsidRDefault="00ED6F0F" w:rsidP="00ED6F0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145FEBD5" w14:textId="77777777" w:rsidTr="00145101">
        <w:trPr>
          <w:trHeight w:val="2302"/>
        </w:trPr>
        <w:tc>
          <w:tcPr>
            <w:tcW w:w="2669" w:type="dxa"/>
          </w:tcPr>
          <w:p w14:paraId="3321FE16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7A9932DE" w14:textId="2F8A59EF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101">
              <w:rPr>
                <w:rFonts w:ascii="Arial" w:hAnsi="Arial" w:cs="Arial"/>
                <w:sz w:val="22"/>
                <w:szCs w:val="22"/>
              </w:rPr>
              <w:t>Deal with student behaviour and attendance in work placement issues taking appropriate action</w:t>
            </w:r>
          </w:p>
          <w:p w14:paraId="624155F9" w14:textId="3ECCD26D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101">
              <w:rPr>
                <w:rFonts w:ascii="Arial" w:hAnsi="Arial" w:cs="Arial"/>
                <w:sz w:val="22"/>
                <w:szCs w:val="22"/>
              </w:rPr>
              <w:t>Monitor and track students to ensure deadlines are met</w:t>
            </w:r>
          </w:p>
          <w:p w14:paraId="7F8C1DE0" w14:textId="77777777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101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3D631435" w14:textId="77777777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101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E54461D" w14:textId="63D27B85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145101">
              <w:rPr>
                <w:rFonts w:ascii="Arial" w:hAnsi="Arial" w:cs="Arial"/>
                <w:sz w:val="22"/>
                <w:szCs w:val="22"/>
              </w:rPr>
              <w:t>Develop and utilise strategies to ensure achievement is maximised</w:t>
            </w:r>
          </w:p>
          <w:p w14:paraId="3A1D62B1" w14:textId="77777777" w:rsidR="00ED6F0F" w:rsidRPr="00145101" w:rsidRDefault="00ED6F0F" w:rsidP="00ED6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1D356794" w14:textId="77777777" w:rsidTr="00DA2900">
        <w:tc>
          <w:tcPr>
            <w:tcW w:w="2669" w:type="dxa"/>
          </w:tcPr>
          <w:p w14:paraId="3EE70174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233F76A8" w14:textId="460E4530" w:rsidR="00145101" w:rsidRPr="009D09E4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Engage in continual </w:t>
            </w:r>
            <w:r>
              <w:rPr>
                <w:rFonts w:ascii="Arial" w:hAnsi="Arial" w:cs="Arial"/>
                <w:sz w:val="22"/>
                <w:szCs w:val="22"/>
              </w:rPr>
              <w:t>professional research and development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to ensure assessment is up to date and inspiring</w:t>
            </w:r>
          </w:p>
          <w:p w14:paraId="3F2F8606" w14:textId="77777777" w:rsidR="00ED6F0F" w:rsidRPr="00145101" w:rsidRDefault="00ED6F0F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74A85842" w14:textId="77777777" w:rsidTr="00DA2900">
        <w:tc>
          <w:tcPr>
            <w:tcW w:w="2669" w:type="dxa"/>
          </w:tcPr>
          <w:p w14:paraId="24D3529D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2C1F4579" w14:textId="71B37CB9" w:rsidR="00145101" w:rsidRPr="009D09E4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>content</w:t>
            </w:r>
            <w:r w:rsidRPr="009D09E4">
              <w:rPr>
                <w:rFonts w:ascii="Arial" w:hAnsi="Arial" w:cs="Arial"/>
                <w:sz w:val="22"/>
                <w:szCs w:val="22"/>
              </w:rPr>
              <w:t xml:space="preserve"> as per subject specialist area </w:t>
            </w:r>
          </w:p>
          <w:p w14:paraId="46B90348" w14:textId="77777777" w:rsidR="00145101" w:rsidRPr="009D09E4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>Use Microsoft 2016/365 online and standard office equipment</w:t>
            </w:r>
          </w:p>
          <w:p w14:paraId="42BFB035" w14:textId="77777777" w:rsidR="00145101" w:rsidRPr="009D09E4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431211D5" w14:textId="77777777" w:rsidR="00145101" w:rsidRPr="009D09E4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D09E4">
              <w:rPr>
                <w:rFonts w:ascii="Arial" w:hAnsi="Arial" w:cs="Arial"/>
                <w:sz w:val="22"/>
                <w:szCs w:val="22"/>
              </w:rPr>
              <w:t xml:space="preserve">Thorough use of </w:t>
            </w:r>
            <w:proofErr w:type="gramStart"/>
            <w:r w:rsidRPr="009D09E4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 w:rsidRPr="009D09E4">
              <w:rPr>
                <w:rFonts w:ascii="Arial" w:hAnsi="Arial" w:cs="Arial"/>
                <w:sz w:val="22"/>
                <w:szCs w:val="22"/>
              </w:rPr>
              <w:t xml:space="preserve"> systems to capture information to create a detailed picture of the student journey</w:t>
            </w:r>
          </w:p>
          <w:p w14:paraId="5A150D34" w14:textId="77777777" w:rsidR="00ED6F0F" w:rsidRPr="00145101" w:rsidRDefault="00ED6F0F" w:rsidP="0014510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D6F0F" w:rsidRPr="00D77FE0" w14:paraId="3B122966" w14:textId="77777777" w:rsidTr="00DA2900">
        <w:tc>
          <w:tcPr>
            <w:tcW w:w="2669" w:type="dxa"/>
          </w:tcPr>
          <w:p w14:paraId="794ECA0B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39993AA3" w14:textId="283A423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Carry out risk assessment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groups of students on </w:t>
            </w:r>
            <w:r>
              <w:rPr>
                <w:rFonts w:ascii="Arial" w:hAnsi="Arial" w:cs="Arial"/>
                <w:sz w:val="22"/>
                <w:szCs w:val="22"/>
              </w:rPr>
              <w:t>work placement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6B4712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1C925ECC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ED6F0F" w:rsidRPr="00145101" w:rsidRDefault="00ED6F0F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8D787F2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6F871379" w14:textId="088349C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 students to appropriate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outstanding advice employment and progression to support their chosen career</w:t>
            </w:r>
          </w:p>
          <w:p w14:paraId="16179587" w14:textId="062606B5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Ensure all students feel safe in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College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work placement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and they understand how to keep safe themselves in different situations </w:t>
            </w:r>
          </w:p>
          <w:p w14:paraId="21D02241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ED6F0F" w:rsidRPr="00145101" w:rsidRDefault="00ED6F0F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F0F" w:rsidRPr="00D77FE0" w14:paraId="7B481323" w14:textId="77777777" w:rsidTr="00DA2900">
        <w:tc>
          <w:tcPr>
            <w:tcW w:w="2669" w:type="dxa"/>
          </w:tcPr>
          <w:p w14:paraId="18BB5DCA" w14:textId="77777777" w:rsidR="00ED6F0F" w:rsidRPr="00D77FE0" w:rsidRDefault="00ED6F0F" w:rsidP="00ED6F0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DE2CCBE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Assist colleagues with </w:t>
            </w:r>
            <w:proofErr w:type="gramStart"/>
            <w:r w:rsidRPr="00942982">
              <w:rPr>
                <w:rFonts w:ascii="Arial" w:hAnsi="Arial" w:cs="Arial"/>
                <w:sz w:val="22"/>
                <w:szCs w:val="22"/>
              </w:rPr>
              <w:t>day to day</w:t>
            </w:r>
            <w:proofErr w:type="gramEnd"/>
            <w:r w:rsidRPr="00942982">
              <w:rPr>
                <w:rFonts w:ascii="Arial" w:hAnsi="Arial" w:cs="Arial"/>
                <w:sz w:val="22"/>
                <w:szCs w:val="22"/>
              </w:rPr>
              <w:t xml:space="preserve"> tasks and help new employees settle in</w:t>
            </w:r>
          </w:p>
          <w:p w14:paraId="50D54919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21622724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ED6F0F" w:rsidRPr="00D77FE0" w:rsidRDefault="00ED6F0F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45101" w:rsidRPr="00D77FE0" w14:paraId="72D97C83" w14:textId="77777777" w:rsidTr="00DA2900">
        <w:tc>
          <w:tcPr>
            <w:tcW w:w="2669" w:type="dxa"/>
          </w:tcPr>
          <w:p w14:paraId="17130F37" w14:textId="77777777" w:rsidR="00145101" w:rsidRPr="00D77FE0" w:rsidRDefault="00145101" w:rsidP="0014510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Teaching &amp; Learning -Support all types of teaching and learning </w:t>
            </w: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support outside of immediate work team</w:t>
            </w:r>
          </w:p>
        </w:tc>
        <w:tc>
          <w:tcPr>
            <w:tcW w:w="5987" w:type="dxa"/>
          </w:tcPr>
          <w:p w14:paraId="2AC654B4" w14:textId="1B60592D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lastRenderedPageBreak/>
              <w:t>Deliver outstanding assessment</w:t>
            </w:r>
          </w:p>
          <w:p w14:paraId="15AC45D9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0D00621D" w14:textId="75639C98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lastRenderedPageBreak/>
              <w:t xml:space="preserve">Ensure an inclusive </w:t>
            </w:r>
            <w:r>
              <w:rPr>
                <w:rFonts w:ascii="Arial" w:hAnsi="Arial" w:cs="Arial"/>
                <w:sz w:val="22"/>
                <w:szCs w:val="22"/>
              </w:rPr>
              <w:t>assessment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environment that reflect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and value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42982">
              <w:rPr>
                <w:rFonts w:ascii="Arial" w:hAnsi="Arial" w:cs="Arial"/>
                <w:sz w:val="22"/>
                <w:szCs w:val="22"/>
              </w:rPr>
              <w:t xml:space="preserve"> the diversity of students </w:t>
            </w:r>
          </w:p>
          <w:p w14:paraId="513B813A" w14:textId="77777777" w:rsidR="00145101" w:rsidRPr="00D77FE0" w:rsidRDefault="00145101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45101" w:rsidRPr="00D77FE0" w14:paraId="164BF05E" w14:textId="77777777" w:rsidTr="00DA2900">
        <w:tc>
          <w:tcPr>
            <w:tcW w:w="2669" w:type="dxa"/>
          </w:tcPr>
          <w:p w14:paraId="0E6421C5" w14:textId="77777777" w:rsidR="00145101" w:rsidRPr="00D77FE0" w:rsidRDefault="00145101" w:rsidP="0014510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20501E04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3C9C3853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50299CD2" w14:textId="075F2408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Outstanding expertise to </w:t>
            </w:r>
            <w:r>
              <w:rPr>
                <w:rFonts w:ascii="Arial" w:hAnsi="Arial" w:cs="Arial"/>
                <w:sz w:val="22"/>
                <w:szCs w:val="22"/>
              </w:rPr>
              <w:t>be able to assess competence in the workplace environment</w:t>
            </w:r>
          </w:p>
          <w:p w14:paraId="677207DE" w14:textId="77777777" w:rsidR="00145101" w:rsidRPr="00942982" w:rsidRDefault="00145101" w:rsidP="0014510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942982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3270391E" w14:textId="77777777" w:rsidR="00145101" w:rsidRPr="00D77FE0" w:rsidRDefault="00145101" w:rsidP="0014510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12E0BA22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12D5EB9B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60ED2EB4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60ED2EB4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60ED2EB4">
        <w:tc>
          <w:tcPr>
            <w:tcW w:w="7366" w:type="dxa"/>
          </w:tcPr>
          <w:p w14:paraId="4548C213" w14:textId="1CB83261" w:rsidR="00D77FE0" w:rsidRPr="00D77FE0" w:rsidRDefault="005C40BF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qualification or equivalent in relevant curriculum area</w:t>
            </w:r>
          </w:p>
        </w:tc>
        <w:tc>
          <w:tcPr>
            <w:tcW w:w="709" w:type="dxa"/>
          </w:tcPr>
          <w:p w14:paraId="134A26D3" w14:textId="19F7E98C" w:rsidR="00D77FE0" w:rsidRPr="00D77FE0" w:rsidRDefault="005C40BF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1EC030E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E2146B1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1F1AC352" w14:textId="77777777" w:rsidTr="60ED2EB4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60ED2EB4">
        <w:tc>
          <w:tcPr>
            <w:tcW w:w="7366" w:type="dxa"/>
          </w:tcPr>
          <w:p w14:paraId="60C3E040" w14:textId="563B6C88" w:rsidR="00D77FE0" w:rsidRPr="00D77FE0" w:rsidRDefault="005C40BF" w:rsidP="00D77FE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D32/D33 A1 or TAQA or working towards</w:t>
            </w:r>
          </w:p>
        </w:tc>
        <w:tc>
          <w:tcPr>
            <w:tcW w:w="709" w:type="dxa"/>
          </w:tcPr>
          <w:p w14:paraId="557EF1AF" w14:textId="56C75EE9" w:rsidR="00D77FE0" w:rsidRPr="00D77FE0" w:rsidRDefault="005C40BF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020A98C6" w14:textId="088C215E" w:rsidR="00D77FE0" w:rsidRPr="00D77FE0" w:rsidRDefault="005C40BF" w:rsidP="00DA29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</w:tc>
        <w:tc>
          <w:tcPr>
            <w:tcW w:w="567" w:type="dxa"/>
          </w:tcPr>
          <w:p w14:paraId="6B93A15E" w14:textId="02E8CCC6" w:rsidR="00D77FE0" w:rsidRPr="00D77FE0" w:rsidRDefault="005C40BF" w:rsidP="00DA290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</w:tc>
      </w:tr>
      <w:tr w:rsidR="00D77FE0" w:rsidRPr="00D77FE0" w14:paraId="05F36C3B" w14:textId="77777777" w:rsidTr="60ED2EB4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60ED2EB4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3BFA5E7" w14:textId="77777777" w:rsidTr="60ED2EB4">
        <w:tc>
          <w:tcPr>
            <w:tcW w:w="7366" w:type="dxa"/>
          </w:tcPr>
          <w:p w14:paraId="46A0055C" w14:textId="28BDF1F4" w:rsidR="00D77FE0" w:rsidRPr="00D77FE0" w:rsidRDefault="005C40BF" w:rsidP="00D77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Vocational experience of the Early Years Sector</w:t>
            </w:r>
          </w:p>
        </w:tc>
        <w:tc>
          <w:tcPr>
            <w:tcW w:w="709" w:type="dxa"/>
          </w:tcPr>
          <w:p w14:paraId="03FA7EFB" w14:textId="3990F7EF" w:rsidR="00D77FE0" w:rsidRPr="00D77FE0" w:rsidRDefault="005C40BF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3BE60D85" w14:textId="0984618C" w:rsidR="00D77FE0" w:rsidRPr="00D77FE0" w:rsidRDefault="005C40BF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03A172D9" w14:textId="369EE38B" w:rsidR="00D77FE0" w:rsidRPr="00D77FE0" w:rsidRDefault="005C40BF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</w:tr>
      <w:tr w:rsidR="00D77FE0" w:rsidRPr="00D77FE0" w14:paraId="64D5C7A6" w14:textId="77777777" w:rsidTr="60ED2EB4">
        <w:tc>
          <w:tcPr>
            <w:tcW w:w="7366" w:type="dxa"/>
          </w:tcPr>
          <w:p w14:paraId="0437E45C" w14:textId="1CD197EE" w:rsidR="005C40BF" w:rsidRPr="005C40BF" w:rsidRDefault="005C40BF" w:rsidP="005C40B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A sound knowledge of appropriate legislation affecting the workplace, including Health and Safety </w:t>
            </w:r>
            <w:r>
              <w:rPr>
                <w:sz w:val="22"/>
                <w:szCs w:val="22"/>
              </w:rPr>
              <w:t>and Early Years curriculum</w:t>
            </w:r>
            <w:r w:rsidRPr="005C40BF">
              <w:rPr>
                <w:sz w:val="22"/>
                <w:szCs w:val="22"/>
              </w:rPr>
              <w:t xml:space="preserve">. Sector driven initiatives and current thinking. </w:t>
            </w:r>
          </w:p>
          <w:p w14:paraId="6F404BE0" w14:textId="77777777" w:rsidR="005C40BF" w:rsidRPr="00D36808" w:rsidRDefault="005C40BF" w:rsidP="005C40BF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>A good understanding of current Government initiatives</w:t>
            </w:r>
            <w:r w:rsidRPr="00D36808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A4C7C2A" w14:textId="77777777" w:rsidR="00D77FE0" w:rsidRPr="005C40BF" w:rsidRDefault="00D77FE0" w:rsidP="005C40BF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112B2684" w14:textId="77777777" w:rsidR="00D77FE0" w:rsidRDefault="00E17C47" w:rsidP="00DA29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795CC425" w14:textId="77777777" w:rsidR="00E17C47" w:rsidRDefault="00E17C47" w:rsidP="00DA2900">
            <w:pPr>
              <w:jc w:val="both"/>
              <w:rPr>
                <w:rFonts w:ascii="Arial" w:hAnsi="Arial"/>
              </w:rPr>
            </w:pPr>
          </w:p>
          <w:p w14:paraId="33CEB189" w14:textId="77777777" w:rsidR="00E17C47" w:rsidRDefault="00E17C47" w:rsidP="00DA2900">
            <w:pPr>
              <w:jc w:val="both"/>
              <w:rPr>
                <w:rFonts w:ascii="Arial" w:hAnsi="Arial"/>
              </w:rPr>
            </w:pPr>
          </w:p>
          <w:p w14:paraId="73442AA6" w14:textId="1B7D9CC7" w:rsidR="00E17C47" w:rsidRPr="00D77FE0" w:rsidRDefault="00E17C47" w:rsidP="00DA29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02595F62" w14:textId="77777777" w:rsid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3B28663D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</w:p>
          <w:p w14:paraId="162BA905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</w:p>
          <w:p w14:paraId="192528E1" w14:textId="23FFDCF1" w:rsidR="00E17C47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086763FC" w14:textId="77777777" w:rsid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460E39CE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</w:p>
          <w:p w14:paraId="0189AC9D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</w:p>
          <w:p w14:paraId="419DFBE8" w14:textId="19AFBE02" w:rsidR="00E17C47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</w:tr>
      <w:tr w:rsidR="00D77FE0" w:rsidRPr="00D77FE0" w14:paraId="5ED68A88" w14:textId="77777777" w:rsidTr="60ED2EB4">
        <w:tc>
          <w:tcPr>
            <w:tcW w:w="7366" w:type="dxa"/>
          </w:tcPr>
          <w:p w14:paraId="7859195F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FEAD412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6FCC781A" w14:textId="77777777" w:rsidTr="60ED2EB4">
        <w:tc>
          <w:tcPr>
            <w:tcW w:w="7366" w:type="dxa"/>
          </w:tcPr>
          <w:p w14:paraId="217EAF6F" w14:textId="6EDB5B09" w:rsidR="005C40BF" w:rsidRPr="005C40BF" w:rsidRDefault="3D3A077D" w:rsidP="005C40B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60ED2EB4">
              <w:rPr>
                <w:rFonts w:ascii="Arial" w:hAnsi="Arial" w:cs="Arial"/>
                <w:sz w:val="22"/>
                <w:szCs w:val="22"/>
              </w:rPr>
              <w:t>D32/D33 A1 or TAQA or working towards</w:t>
            </w:r>
            <w:r w:rsidR="005C40BF" w:rsidRPr="60ED2EB4">
              <w:rPr>
                <w:rFonts w:ascii="Arial" w:hAnsi="Arial"/>
              </w:rPr>
              <w:t xml:space="preserve"> </w:t>
            </w:r>
          </w:p>
          <w:p w14:paraId="678D74FF" w14:textId="141CE9A1" w:rsidR="00D77FE0" w:rsidRPr="00D77FE0" w:rsidRDefault="005C40BF" w:rsidP="005C40B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0BF">
              <w:rPr>
                <w:rFonts w:ascii="Arial" w:hAnsi="Arial" w:cs="Arial"/>
                <w:sz w:val="22"/>
                <w:szCs w:val="22"/>
                <w:lang w:val="en-US"/>
              </w:rPr>
              <w:t>An appreciation of the structure of the qualifications and of their assessment procedures</w:t>
            </w:r>
          </w:p>
        </w:tc>
        <w:tc>
          <w:tcPr>
            <w:tcW w:w="709" w:type="dxa"/>
          </w:tcPr>
          <w:p w14:paraId="08C7F94D" w14:textId="77777777" w:rsid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38CE4290" w14:textId="7AB3B495" w:rsidR="00E17C47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014E5A2B" w14:textId="77777777" w:rsid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5BDC65AD" w14:textId="35E5CD6F" w:rsidR="00E17C47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3135961C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0FEFC759" w14:textId="77777777" w:rsidTr="60ED2EB4">
        <w:tc>
          <w:tcPr>
            <w:tcW w:w="7366" w:type="dxa"/>
          </w:tcPr>
          <w:p w14:paraId="122865A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</w:t>
            </w:r>
            <w:proofErr w:type="spellStart"/>
            <w:r w:rsidRPr="00D77FE0">
              <w:rPr>
                <w:rFonts w:ascii="Arial" w:hAnsi="Arial"/>
                <w:b/>
              </w:rPr>
              <w:t>Behavioural</w:t>
            </w:r>
            <w:proofErr w:type="spellEnd"/>
            <w:r w:rsidRPr="00D77FE0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14A602D" w14:textId="77777777" w:rsidTr="60ED2EB4">
        <w:tc>
          <w:tcPr>
            <w:tcW w:w="7366" w:type="dxa"/>
          </w:tcPr>
          <w:p w14:paraId="7CBF64FD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3C9275A9" w14:textId="77777777" w:rsidTr="60ED2EB4">
        <w:tc>
          <w:tcPr>
            <w:tcW w:w="7366" w:type="dxa"/>
          </w:tcPr>
          <w:p w14:paraId="2FBE5736" w14:textId="77777777" w:rsidR="005C40BF" w:rsidRPr="005C40BF" w:rsidRDefault="005C40BF" w:rsidP="005C40BF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Ability to work in a team. </w:t>
            </w:r>
          </w:p>
          <w:p w14:paraId="34246C9D" w14:textId="77777777" w:rsidR="005C40BF" w:rsidRPr="005C40BF" w:rsidRDefault="005C40BF" w:rsidP="005C40BF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Personal warmth, openness and sensitivity. </w:t>
            </w:r>
          </w:p>
          <w:p w14:paraId="74678D23" w14:textId="77777777" w:rsidR="005C40BF" w:rsidRPr="005C40BF" w:rsidRDefault="005C40BF" w:rsidP="005C40BF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Highly motivated to personal and team achievement and able to work on their own initiative. </w:t>
            </w:r>
          </w:p>
          <w:p w14:paraId="439E6A35" w14:textId="77777777" w:rsidR="005C40BF" w:rsidRPr="005C40BF" w:rsidRDefault="005C40BF" w:rsidP="005C40BF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Company loyalty. </w:t>
            </w:r>
          </w:p>
          <w:p w14:paraId="2F5D3BB6" w14:textId="77777777" w:rsidR="005C40BF" w:rsidRPr="005C40BF" w:rsidRDefault="005C40BF" w:rsidP="005C40BF">
            <w:pPr>
              <w:pStyle w:val="Default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C40BF">
              <w:rPr>
                <w:sz w:val="22"/>
                <w:szCs w:val="22"/>
              </w:rPr>
              <w:t xml:space="preserve">Innovative and creative. </w:t>
            </w:r>
          </w:p>
          <w:p w14:paraId="2D5890D7" w14:textId="77777777" w:rsidR="00D77FE0" w:rsidRPr="005C40BF" w:rsidRDefault="00D77FE0" w:rsidP="005C40BF">
            <w:pPr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14:paraId="162CAB3F" w14:textId="55C23A67" w:rsidR="00D77FE0" w:rsidRDefault="00E17C47" w:rsidP="00E17C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624ACA16" w14:textId="174771AA" w:rsidR="00E17C47" w:rsidRDefault="00E17C47" w:rsidP="00E17C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568B1892" w14:textId="2AE03DFB" w:rsidR="00E17C47" w:rsidRDefault="00E17C47" w:rsidP="00E17C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2CB47820" w14:textId="77777777" w:rsidR="00E17C47" w:rsidRDefault="00E17C47" w:rsidP="00E17C47">
            <w:pPr>
              <w:jc w:val="center"/>
              <w:rPr>
                <w:rFonts w:ascii="Arial" w:hAnsi="Arial"/>
              </w:rPr>
            </w:pPr>
          </w:p>
          <w:p w14:paraId="4E68E8FC" w14:textId="77777777" w:rsidR="00E17C47" w:rsidRDefault="00E17C47" w:rsidP="00E17C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15547098" w14:textId="29BEEE01" w:rsidR="00E17C47" w:rsidRPr="00D77FE0" w:rsidRDefault="00E17C47" w:rsidP="00E17C4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341DB597" w14:textId="77777777" w:rsid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29751376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78854344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6492587E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</w:p>
          <w:p w14:paraId="298F5008" w14:textId="77777777" w:rsidR="00E17C47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  <w:p w14:paraId="6370273F" w14:textId="79FE15D9" w:rsidR="00E17C47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609E8649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7D7F898B" w14:textId="77777777" w:rsidTr="60ED2EB4">
        <w:tc>
          <w:tcPr>
            <w:tcW w:w="7366" w:type="dxa"/>
          </w:tcPr>
          <w:p w14:paraId="59B8B7C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D77FE0" w:rsidRPr="00D77FE0" w:rsidRDefault="00D77FE0" w:rsidP="00DA2900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704B4F66" w14:textId="77777777" w:rsidTr="60ED2EB4">
        <w:tc>
          <w:tcPr>
            <w:tcW w:w="7366" w:type="dxa"/>
          </w:tcPr>
          <w:p w14:paraId="50560EF7" w14:textId="77777777" w:rsid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  <w:p w14:paraId="108901A9" w14:textId="77777777" w:rsidR="00E17C47" w:rsidRPr="00E17C47" w:rsidRDefault="00E17C47" w:rsidP="00E17C47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7C47">
              <w:rPr>
                <w:sz w:val="22"/>
                <w:szCs w:val="22"/>
              </w:rPr>
              <w:t xml:space="preserve">Ability to use logic and information to achieve goals. </w:t>
            </w:r>
          </w:p>
          <w:p w14:paraId="73116165" w14:textId="3F8D894B" w:rsidR="00E17C47" w:rsidRPr="00E17C47" w:rsidRDefault="00E17C47" w:rsidP="00E17C47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E17C47">
              <w:rPr>
                <w:sz w:val="22"/>
                <w:szCs w:val="22"/>
              </w:rPr>
              <w:t xml:space="preserve">Effective use of business tools and IT </w:t>
            </w:r>
          </w:p>
          <w:p w14:paraId="7CD257F3" w14:textId="77777777" w:rsidR="00E17C47" w:rsidRPr="00D36808" w:rsidRDefault="00E17C47" w:rsidP="00E17C47">
            <w:pPr>
              <w:pStyle w:val="Default"/>
              <w:numPr>
                <w:ilvl w:val="0"/>
                <w:numId w:val="9"/>
              </w:numPr>
              <w:rPr>
                <w:rFonts w:ascii="Calibri" w:hAnsi="Calibri"/>
                <w:sz w:val="22"/>
                <w:szCs w:val="22"/>
              </w:rPr>
            </w:pPr>
            <w:r w:rsidRPr="00E17C47">
              <w:rPr>
                <w:sz w:val="22"/>
                <w:szCs w:val="22"/>
              </w:rPr>
              <w:t>Able to prioritise work to ensure achievement of targets</w:t>
            </w:r>
            <w:r w:rsidRPr="00D36808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0CC920F" w14:textId="0EB4FCE1" w:rsidR="00E17C47" w:rsidRPr="00D77FE0" w:rsidRDefault="00E17C47" w:rsidP="00DA2900">
            <w:pPr>
              <w:jc w:val="both"/>
              <w:rPr>
                <w:rFonts w:ascii="Arial" w:hAnsi="Arial"/>
                <w:i/>
              </w:rPr>
            </w:pPr>
          </w:p>
        </w:tc>
        <w:tc>
          <w:tcPr>
            <w:tcW w:w="709" w:type="dxa"/>
          </w:tcPr>
          <w:p w14:paraId="226BBF10" w14:textId="77777777" w:rsidR="00D77FE0" w:rsidRDefault="00D77FE0" w:rsidP="00E17C47">
            <w:pPr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  <w:p w14:paraId="41EE68A8" w14:textId="77777777" w:rsidR="00E17C47" w:rsidRDefault="00E17C47" w:rsidP="00E17C47">
            <w:pPr>
              <w:rPr>
                <w:rFonts w:ascii="Arial" w:hAnsi="Arial"/>
                <w:b/>
              </w:rPr>
            </w:pPr>
          </w:p>
          <w:p w14:paraId="45C5140C" w14:textId="77777777" w:rsidR="00E17C47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  <w:p w14:paraId="75636AD7" w14:textId="77777777" w:rsidR="00E17C47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  <w:p w14:paraId="630C06F7" w14:textId="0206A76E" w:rsidR="00E17C47" w:rsidRPr="00D77FE0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</w:tc>
        <w:tc>
          <w:tcPr>
            <w:tcW w:w="567" w:type="dxa"/>
          </w:tcPr>
          <w:p w14:paraId="3AE5F30F" w14:textId="77777777" w:rsidR="00D77FE0" w:rsidRDefault="00D77FE0" w:rsidP="00E17C47">
            <w:pPr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  <w:p w14:paraId="7E8A398D" w14:textId="77777777" w:rsidR="00E17C47" w:rsidRDefault="00E17C47" w:rsidP="00E17C47">
            <w:pPr>
              <w:rPr>
                <w:rFonts w:ascii="Arial" w:hAnsi="Arial"/>
                <w:b/>
              </w:rPr>
            </w:pPr>
          </w:p>
          <w:p w14:paraId="634CCB53" w14:textId="77777777" w:rsidR="00E17C47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  <w:p w14:paraId="5F826B85" w14:textId="77777777" w:rsidR="00E17C47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  <w:p w14:paraId="5F741070" w14:textId="2963B432" w:rsidR="00E17C47" w:rsidRPr="00D77FE0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</w:tc>
        <w:tc>
          <w:tcPr>
            <w:tcW w:w="567" w:type="dxa"/>
          </w:tcPr>
          <w:p w14:paraId="194F27CA" w14:textId="77777777" w:rsidR="00D77FE0" w:rsidRDefault="00D77FE0" w:rsidP="00E17C47">
            <w:pPr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  <w:p w14:paraId="43D7F198" w14:textId="77777777" w:rsidR="00E17C47" w:rsidRDefault="00E17C47" w:rsidP="00E17C47">
            <w:pPr>
              <w:rPr>
                <w:rFonts w:ascii="Arial" w:hAnsi="Arial"/>
                <w:b/>
              </w:rPr>
            </w:pPr>
          </w:p>
          <w:p w14:paraId="5A2F4C41" w14:textId="77777777" w:rsidR="00E17C47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  <w:p w14:paraId="3D46206E" w14:textId="77777777" w:rsidR="00E17C47" w:rsidRDefault="00E17C47" w:rsidP="00E17C47">
            <w:pPr>
              <w:rPr>
                <w:rFonts w:ascii="Arial" w:hAnsi="Arial"/>
                <w:b/>
              </w:rPr>
            </w:pPr>
          </w:p>
          <w:p w14:paraId="02A7894F" w14:textId="4656F8A6" w:rsidR="00E17C47" w:rsidRPr="00D77FE0" w:rsidRDefault="00E17C47" w:rsidP="00E17C4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/</w:t>
            </w:r>
          </w:p>
        </w:tc>
      </w:tr>
      <w:tr w:rsidR="00D77FE0" w:rsidRPr="00D77FE0" w14:paraId="2C8644A3" w14:textId="77777777" w:rsidTr="60ED2EB4">
        <w:tc>
          <w:tcPr>
            <w:tcW w:w="7366" w:type="dxa"/>
          </w:tcPr>
          <w:p w14:paraId="1431E2A3" w14:textId="77777777" w:rsidR="00D77FE0" w:rsidRPr="00C8032F" w:rsidRDefault="00D77FE0" w:rsidP="00D77FE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8032F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06FA9BAE" w:rsidR="00D77FE0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48EF5862" w14:textId="118DC63C" w:rsidR="00D77FE0" w:rsidRPr="00D77FE0" w:rsidRDefault="00E17C47" w:rsidP="00DA29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</w:t>
            </w:r>
          </w:p>
        </w:tc>
        <w:tc>
          <w:tcPr>
            <w:tcW w:w="567" w:type="dxa"/>
          </w:tcPr>
          <w:p w14:paraId="211E8FFB" w14:textId="77777777" w:rsidR="00D77FE0" w:rsidRPr="00D77FE0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2EC3B5D5" w14:textId="77777777" w:rsidTr="60ED2EB4">
        <w:tc>
          <w:tcPr>
            <w:tcW w:w="7366" w:type="dxa"/>
          </w:tcPr>
          <w:p w14:paraId="3603DA63" w14:textId="77777777" w:rsidR="00D77FE0" w:rsidRPr="00C8032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C8032F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D77FE0" w:rsidRPr="00C8032F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C8032F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5E386E15" w14:textId="77777777" w:rsid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  <w:p w14:paraId="74D3A889" w14:textId="6F2F6EAA" w:rsidR="00E17C47" w:rsidRPr="00D77FE0" w:rsidRDefault="00E17C47" w:rsidP="00DA2900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/</w:t>
            </w:r>
          </w:p>
        </w:tc>
        <w:tc>
          <w:tcPr>
            <w:tcW w:w="567" w:type="dxa"/>
          </w:tcPr>
          <w:p w14:paraId="76F57A77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2681A3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1182D29B" w14:textId="77777777" w:rsidR="00D77FE0" w:rsidRPr="00D77FE0" w:rsidRDefault="00D77FE0" w:rsidP="00D77FE0">
      <w:pPr>
        <w:rPr>
          <w:rFonts w:ascii="Arial" w:hAnsi="Arial"/>
        </w:rPr>
      </w:pPr>
      <w:r w:rsidRPr="00D77FE0">
        <w:rPr>
          <w:rFonts w:ascii="Arial" w:hAnsi="Arial"/>
        </w:rPr>
        <w:t>[Anything in square brackets please remove]</w:t>
      </w: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977E" w14:textId="77777777" w:rsidR="003274FD" w:rsidRDefault="003274FD" w:rsidP="00D77FE0">
      <w:r>
        <w:separator/>
      </w:r>
    </w:p>
  </w:endnote>
  <w:endnote w:type="continuationSeparator" w:id="0">
    <w:p w14:paraId="05628C2E" w14:textId="77777777" w:rsidR="003274FD" w:rsidRDefault="003274FD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20D6808D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Date: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49C5" w14:textId="77777777" w:rsidR="003274FD" w:rsidRDefault="003274FD" w:rsidP="00D77FE0">
      <w:r>
        <w:separator/>
      </w:r>
    </w:p>
  </w:footnote>
  <w:footnote w:type="continuationSeparator" w:id="0">
    <w:p w14:paraId="5F68A323" w14:textId="77777777" w:rsidR="003274FD" w:rsidRDefault="003274FD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51D641CD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1B18A6">
      <w:rPr>
        <w:noProof/>
      </w:rPr>
      <w:drawing>
        <wp:inline distT="0" distB="0" distL="0" distR="0" wp14:anchorId="23A73A54" wp14:editId="61756EB9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9D1"/>
    <w:multiLevelType w:val="hybridMultilevel"/>
    <w:tmpl w:val="BEAC54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7106A"/>
    <w:multiLevelType w:val="hybridMultilevel"/>
    <w:tmpl w:val="98440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753D6"/>
    <w:multiLevelType w:val="hybridMultilevel"/>
    <w:tmpl w:val="546E9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2E0"/>
    <w:multiLevelType w:val="hybridMultilevel"/>
    <w:tmpl w:val="21EA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75F05"/>
    <w:multiLevelType w:val="hybridMultilevel"/>
    <w:tmpl w:val="2138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70EBC"/>
    <w:multiLevelType w:val="hybridMultilevel"/>
    <w:tmpl w:val="DA160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394173">
    <w:abstractNumId w:val="0"/>
  </w:num>
  <w:num w:numId="2" w16cid:durableId="1258321761">
    <w:abstractNumId w:val="6"/>
  </w:num>
  <w:num w:numId="3" w16cid:durableId="1449743368">
    <w:abstractNumId w:val="3"/>
  </w:num>
  <w:num w:numId="4" w16cid:durableId="1069353051">
    <w:abstractNumId w:val="1"/>
  </w:num>
  <w:num w:numId="5" w16cid:durableId="1619410081">
    <w:abstractNumId w:val="9"/>
  </w:num>
  <w:num w:numId="6" w16cid:durableId="1255240760">
    <w:abstractNumId w:val="7"/>
  </w:num>
  <w:num w:numId="7" w16cid:durableId="2077243027">
    <w:abstractNumId w:val="2"/>
  </w:num>
  <w:num w:numId="8" w16cid:durableId="1361780795">
    <w:abstractNumId w:val="5"/>
  </w:num>
  <w:num w:numId="9" w16cid:durableId="1054085880">
    <w:abstractNumId w:val="4"/>
  </w:num>
  <w:num w:numId="10" w16cid:durableId="266860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62149"/>
    <w:rsid w:val="00137214"/>
    <w:rsid w:val="00145101"/>
    <w:rsid w:val="001736CC"/>
    <w:rsid w:val="00174C46"/>
    <w:rsid w:val="00190451"/>
    <w:rsid w:val="001B18A6"/>
    <w:rsid w:val="0024268D"/>
    <w:rsid w:val="002620CF"/>
    <w:rsid w:val="0027686E"/>
    <w:rsid w:val="00285BC6"/>
    <w:rsid w:val="003274FD"/>
    <w:rsid w:val="003A3C8A"/>
    <w:rsid w:val="003F6B71"/>
    <w:rsid w:val="004651DA"/>
    <w:rsid w:val="004D1FC9"/>
    <w:rsid w:val="004E0C6E"/>
    <w:rsid w:val="00500CBB"/>
    <w:rsid w:val="005425BD"/>
    <w:rsid w:val="005B2063"/>
    <w:rsid w:val="005C40BF"/>
    <w:rsid w:val="005C5A0D"/>
    <w:rsid w:val="006D3354"/>
    <w:rsid w:val="00801449"/>
    <w:rsid w:val="0089331D"/>
    <w:rsid w:val="009B171B"/>
    <w:rsid w:val="00A33DE8"/>
    <w:rsid w:val="00A71063"/>
    <w:rsid w:val="00AB1FBC"/>
    <w:rsid w:val="00AF41D8"/>
    <w:rsid w:val="00B30D59"/>
    <w:rsid w:val="00C6305F"/>
    <w:rsid w:val="00C8032F"/>
    <w:rsid w:val="00C94FDF"/>
    <w:rsid w:val="00CD3F88"/>
    <w:rsid w:val="00CD442E"/>
    <w:rsid w:val="00D071EF"/>
    <w:rsid w:val="00D77FE0"/>
    <w:rsid w:val="00E17C47"/>
    <w:rsid w:val="00E21FB7"/>
    <w:rsid w:val="00ED6F0F"/>
    <w:rsid w:val="3D3A077D"/>
    <w:rsid w:val="60E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uiPriority w:val="1"/>
    <w:qFormat/>
    <w:rsid w:val="00A71063"/>
    <w:pPr>
      <w:spacing w:after="0" w:line="240" w:lineRule="auto"/>
    </w:pPr>
    <w:rPr>
      <w:rFonts w:ascii="Verdana" w:eastAsia="Times New Roman" w:hAnsi="Verdana" w:cs="Arial"/>
      <w:lang w:val="en-US"/>
    </w:rPr>
  </w:style>
  <w:style w:type="paragraph" w:customStyle="1" w:styleId="Default">
    <w:name w:val="Default"/>
    <w:rsid w:val="009B17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4E0C6E"/>
    <w:pPr>
      <w:jc w:val="both"/>
    </w:pPr>
    <w:rPr>
      <w:rFonts w:ascii="Times New Roman" w:hAnsi="Times New Roman" w:cs="Times New Roman"/>
      <w:sz w:val="24"/>
      <w:szCs w:val="20"/>
      <w:lang w:eastAsia="x-none"/>
    </w:rPr>
  </w:style>
  <w:style w:type="character" w:customStyle="1" w:styleId="BodyText2Char">
    <w:name w:val="Body Text 2 Char"/>
    <w:basedOn w:val="DefaultParagraphFont"/>
    <w:link w:val="BodyText2"/>
    <w:rsid w:val="004E0C6E"/>
    <w:rPr>
      <w:rFonts w:ascii="Times New Roman" w:eastAsia="Times New Roman" w:hAnsi="Times New Roman" w:cs="Times New Roman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A028E-0E75-4EFA-96E0-7B41E9FB2F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02dc0ba-1b72-4709-a670-17ed4f58dc31"/>
    <ds:schemaRef ds:uri="a8922941-3025-4612-96b0-12fb5b99b2b7"/>
  </ds:schemaRefs>
</ds:datastoreItem>
</file>

<file path=customXml/itemProps2.xml><?xml version="1.0" encoding="utf-8"?>
<ds:datastoreItem xmlns:ds="http://schemas.openxmlformats.org/officeDocument/2006/customXml" ds:itemID="{9F857D0D-493D-457C-831C-D61CA98ED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3C80B-ECD2-490E-8BCE-F2EA50C15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6</cp:revision>
  <dcterms:created xsi:type="dcterms:W3CDTF">2025-12-04T13:01:00Z</dcterms:created>
  <dcterms:modified xsi:type="dcterms:W3CDTF">2026-06-18T12:33:00Z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</Properties>
</file>