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018B63C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718AD684" w:rsidR="003B7986" w:rsidRPr="00BD2DA8" w:rsidRDefault="00711E3E" w:rsidP="00BD370E">
            <w:pPr>
              <w:rPr>
                <w:rFonts w:ascii="Arial Nova" w:hAnsi="Arial Nova" w:cs="Arial"/>
                <w:b/>
                <w:bCs/>
                <w:sz w:val="24"/>
                <w:szCs w:val="24"/>
              </w:rPr>
            </w:pPr>
            <w:r w:rsidRPr="00711E3E">
              <w:rPr>
                <w:rFonts w:ascii="Arial Nova" w:hAnsi="Arial Nova"/>
                <w:sz w:val="24"/>
                <w:szCs w:val="24"/>
              </w:rPr>
              <w:t>Assistant Phase Leader (non-teaching)</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3A6D197" w:rsidR="00D96F3F" w:rsidRPr="00BD2DA8" w:rsidRDefault="00711E3E" w:rsidP="00BD370E">
            <w:pPr>
              <w:rPr>
                <w:rFonts w:ascii="Arial Nova" w:hAnsi="Arial Nova" w:cs="Arial"/>
                <w:sz w:val="24"/>
                <w:szCs w:val="24"/>
              </w:rPr>
            </w:pPr>
            <w:r w:rsidRPr="00711E3E">
              <w:rPr>
                <w:rFonts w:ascii="Arial Nova" w:hAnsi="Arial Nova" w:cs="Arial"/>
                <w:sz w:val="24"/>
                <w:szCs w:val="24"/>
              </w:rPr>
              <w:t>Grade 6, SCP 18–24</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57A53583" w:rsidR="00D96F3F" w:rsidRPr="00BD2DA8" w:rsidRDefault="000D2352" w:rsidP="00BD370E">
            <w:pPr>
              <w:rPr>
                <w:rFonts w:ascii="Arial Nova" w:hAnsi="Arial Nova" w:cs="Arial"/>
                <w:sz w:val="24"/>
                <w:szCs w:val="24"/>
              </w:rPr>
            </w:pPr>
            <w:r>
              <w:rPr>
                <w:rFonts w:ascii="Arial Nova" w:hAnsi="Arial Nova" w:cs="Arial"/>
                <w:sz w:val="24"/>
                <w:szCs w:val="24"/>
              </w:rPr>
              <w:t>Heads of Year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75525CAD" w:rsidR="003B7986" w:rsidRPr="00BD2DA8" w:rsidRDefault="00C61027" w:rsidP="00385AEA">
            <w:pPr>
              <w:rPr>
                <w:rFonts w:ascii="Arial Nova" w:hAnsi="Arial Nova" w:cs="Segoe UI"/>
                <w:sz w:val="24"/>
                <w:szCs w:val="24"/>
              </w:rPr>
            </w:pPr>
            <w:r w:rsidRPr="00C61027">
              <w:rPr>
                <w:rFonts w:ascii="Arial Nova" w:hAnsi="Arial Nova"/>
                <w:color w:val="000000"/>
                <w:sz w:val="24"/>
                <w:szCs w:val="24"/>
              </w:rPr>
              <w:t>To support the raising of attainment for all students in the relevant Key Stage by working closely with teaching Heads of Year, pastoral teams and inclusion colleagues, contributing to whole-school improvement through effective support for behaviour, attendance, punctuality, welfare, safeguarding and positive engagement with learning.</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4BD2E18A" w:rsidR="00CC227D" w:rsidRPr="00BD2DA8" w:rsidRDefault="00C61027" w:rsidP="005C361B">
            <w:pPr>
              <w:tabs>
                <w:tab w:val="left" w:pos="2925"/>
              </w:tabs>
              <w:jc w:val="center"/>
              <w:rPr>
                <w:rFonts w:ascii="Arial Nova" w:hAnsi="Arial Nova" w:cs="Arial"/>
                <w:sz w:val="24"/>
                <w:szCs w:val="24"/>
              </w:rPr>
            </w:pPr>
            <w:r w:rsidRPr="00C61027">
              <w:rPr>
                <w:rFonts w:ascii="Arial Nova" w:hAnsi="Arial Nova" w:cs="Arial"/>
                <w:sz w:val="24"/>
                <w:szCs w:val="24"/>
              </w:rPr>
              <w:t>No line management responsibility. Staff group: none.</w:t>
            </w:r>
            <w:r>
              <w:rPr>
                <w:rFonts w:ascii="Arial Nova" w:hAnsi="Arial Nova" w:cs="Arial"/>
                <w:sz w:val="24"/>
                <w:szCs w:val="24"/>
              </w:rPr>
              <w:t xml:space="preserve"> </w:t>
            </w:r>
            <w:proofErr w:type="gramStart"/>
            <w:r w:rsidRPr="00C61027">
              <w:rPr>
                <w:rFonts w:ascii="Arial Nova" w:hAnsi="Arial Nova" w:cs="Arial"/>
                <w:sz w:val="24"/>
                <w:szCs w:val="24"/>
              </w:rPr>
              <w:t>Fixed-site</w:t>
            </w:r>
            <w:proofErr w:type="gramEnd"/>
            <w:r w:rsidRPr="00C61027">
              <w:rPr>
                <w:rFonts w:ascii="Arial Nova" w:hAnsi="Arial Nova" w:cs="Arial"/>
                <w:sz w:val="24"/>
                <w:szCs w:val="24"/>
              </w:rPr>
              <w:t xml:space="preserve">, with occasional support for other Maiden </w:t>
            </w:r>
            <w:proofErr w:type="spellStart"/>
            <w:r w:rsidRPr="00C61027">
              <w:rPr>
                <w:rFonts w:ascii="Arial Nova" w:hAnsi="Arial Nova" w:cs="Arial"/>
                <w:sz w:val="24"/>
                <w:szCs w:val="24"/>
              </w:rPr>
              <w:t>Erlegh</w:t>
            </w:r>
            <w:proofErr w:type="spellEnd"/>
            <w:r w:rsidRPr="00C61027">
              <w:rPr>
                <w:rFonts w:ascii="Arial Nova" w:hAnsi="Arial Nova" w:cs="Arial"/>
                <w:sz w:val="24"/>
                <w:szCs w:val="24"/>
              </w:rPr>
              <w:t xml:space="preserve"> Trust schools where required.</w:t>
            </w:r>
          </w:p>
        </w:tc>
        <w:tc>
          <w:tcPr>
            <w:tcW w:w="3515" w:type="dxa"/>
            <w:gridSpan w:val="2"/>
            <w:vAlign w:val="center"/>
          </w:tcPr>
          <w:p w14:paraId="5BAAEF56" w14:textId="768B52E3" w:rsidR="00CC227D" w:rsidRPr="00BD2DA8" w:rsidRDefault="005A4ACE" w:rsidP="005C361B">
            <w:pPr>
              <w:tabs>
                <w:tab w:val="left" w:pos="2925"/>
              </w:tabs>
              <w:jc w:val="center"/>
              <w:rPr>
                <w:rFonts w:ascii="Arial Nova" w:hAnsi="Arial Nova" w:cs="Arial"/>
                <w:sz w:val="24"/>
                <w:szCs w:val="24"/>
              </w:rPr>
            </w:pPr>
            <w:r w:rsidRPr="005A4ACE">
              <w:rPr>
                <w:rFonts w:ascii="Arial Nova" w:hAnsi="Arial Nova" w:cs="Arial"/>
                <w:sz w:val="24"/>
                <w:szCs w:val="24"/>
              </w:rPr>
              <w:t>No budgetary responsibility.</w:t>
            </w:r>
          </w:p>
        </w:tc>
      </w:tr>
      <w:tr w:rsidR="002F52A9" w:rsidRPr="00BD2DA8" w14:paraId="4E7E71F6" w14:textId="77777777" w:rsidTr="00ED325C">
        <w:trPr>
          <w:trHeight w:val="547"/>
        </w:trPr>
        <w:tc>
          <w:tcPr>
            <w:tcW w:w="3256" w:type="dxa"/>
            <w:shd w:val="clear" w:color="auto" w:fill="BDD6EE" w:themeFill="accent1" w:themeFillTint="66"/>
            <w:vAlign w:val="center"/>
          </w:tcPr>
          <w:p w14:paraId="1E31240A" w14:textId="77777777" w:rsidR="002F52A9" w:rsidRPr="00BD2DA8" w:rsidRDefault="002F52A9" w:rsidP="002F52A9">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2F52A9" w:rsidRPr="00BD2DA8" w:rsidRDefault="002F52A9" w:rsidP="002F52A9">
            <w:pPr>
              <w:tabs>
                <w:tab w:val="left" w:pos="2925"/>
              </w:tabs>
              <w:rPr>
                <w:rFonts w:ascii="Arial Nova" w:hAnsi="Arial Nova" w:cs="Arial"/>
                <w:b/>
                <w:sz w:val="24"/>
                <w:szCs w:val="24"/>
              </w:rPr>
            </w:pPr>
          </w:p>
        </w:tc>
        <w:tc>
          <w:tcPr>
            <w:tcW w:w="7200" w:type="dxa"/>
            <w:gridSpan w:val="4"/>
          </w:tcPr>
          <w:p w14:paraId="7406128B" w14:textId="77777777" w:rsidR="00B41B02" w:rsidRDefault="00B41B02" w:rsidP="00B41B02">
            <w:pPr>
              <w:tabs>
                <w:tab w:val="left" w:pos="2925"/>
              </w:tabs>
              <w:rPr>
                <w:rFonts w:ascii="Arial Nova" w:eastAsia="Times New Roman" w:hAnsi="Arial Nova" w:cs="Times New Roman"/>
                <w:sz w:val="24"/>
                <w:szCs w:val="24"/>
                <w:lang w:eastAsia="en-GB"/>
              </w:rPr>
            </w:pPr>
          </w:p>
          <w:p w14:paraId="35D7061B" w14:textId="77777777" w:rsidR="00300413" w:rsidRDefault="00300413" w:rsidP="00300413">
            <w:pPr>
              <w:tabs>
                <w:tab w:val="left" w:pos="2925"/>
              </w:tabs>
              <w:rPr>
                <w:rFonts w:ascii="Arial Nova" w:eastAsia="Times New Roman" w:hAnsi="Arial Nova" w:cs="Times New Roman"/>
                <w:sz w:val="24"/>
                <w:szCs w:val="24"/>
                <w:lang w:eastAsia="en-GB"/>
              </w:rPr>
            </w:pPr>
            <w:r w:rsidRPr="00300413">
              <w:rPr>
                <w:rFonts w:ascii="Arial Nova" w:eastAsia="Times New Roman" w:hAnsi="Arial Nova" w:cs="Times New Roman"/>
                <w:sz w:val="24"/>
                <w:szCs w:val="24"/>
                <w:lang w:eastAsia="en-GB"/>
              </w:rPr>
              <w:t>Teaching and Learning: promote a positive ethos of learning through high expectations of student interactions, conduct, behaviour, punctuality, uniform and equipment.</w:t>
            </w:r>
          </w:p>
          <w:p w14:paraId="76CBFFAB" w14:textId="77777777" w:rsidR="000E3E39" w:rsidRPr="00300413" w:rsidRDefault="000E3E39" w:rsidP="00300413">
            <w:pPr>
              <w:tabs>
                <w:tab w:val="left" w:pos="2925"/>
              </w:tabs>
              <w:rPr>
                <w:rFonts w:ascii="Arial Nova" w:eastAsia="Times New Roman" w:hAnsi="Arial Nova" w:cs="Times New Roman"/>
                <w:sz w:val="24"/>
                <w:szCs w:val="24"/>
                <w:lang w:eastAsia="en-GB"/>
              </w:rPr>
            </w:pPr>
          </w:p>
          <w:p w14:paraId="1511FF45" w14:textId="77777777" w:rsidR="00300413" w:rsidRDefault="00300413" w:rsidP="00300413">
            <w:pPr>
              <w:tabs>
                <w:tab w:val="left" w:pos="2925"/>
              </w:tabs>
              <w:rPr>
                <w:rFonts w:ascii="Arial Nova" w:eastAsia="Times New Roman" w:hAnsi="Arial Nova" w:cs="Times New Roman"/>
                <w:sz w:val="24"/>
                <w:szCs w:val="24"/>
                <w:lang w:eastAsia="en-GB"/>
              </w:rPr>
            </w:pPr>
            <w:r w:rsidRPr="00300413">
              <w:rPr>
                <w:rFonts w:ascii="Arial Nova" w:eastAsia="Times New Roman" w:hAnsi="Arial Nova" w:cs="Times New Roman"/>
                <w:sz w:val="24"/>
                <w:szCs w:val="24"/>
                <w:lang w:eastAsia="en-GB"/>
              </w:rPr>
              <w:t>Assessment: monitor and track behaviour, attendance and punctuality information for selected year groups, identifying patterns and supporting timely intervention.</w:t>
            </w:r>
          </w:p>
          <w:p w14:paraId="47E1725A" w14:textId="77777777" w:rsidR="00300413" w:rsidRPr="00300413" w:rsidRDefault="00300413" w:rsidP="00300413">
            <w:pPr>
              <w:tabs>
                <w:tab w:val="left" w:pos="2925"/>
              </w:tabs>
              <w:rPr>
                <w:rFonts w:ascii="Arial Nova" w:eastAsia="Times New Roman" w:hAnsi="Arial Nova" w:cs="Times New Roman"/>
                <w:sz w:val="24"/>
                <w:szCs w:val="24"/>
                <w:lang w:eastAsia="en-GB"/>
              </w:rPr>
            </w:pPr>
          </w:p>
          <w:p w14:paraId="6E7ABC27" w14:textId="77777777" w:rsidR="00300413" w:rsidRDefault="00300413" w:rsidP="00300413">
            <w:pPr>
              <w:tabs>
                <w:tab w:val="left" w:pos="2925"/>
              </w:tabs>
              <w:rPr>
                <w:rFonts w:ascii="Arial Nova" w:eastAsia="Times New Roman" w:hAnsi="Arial Nova" w:cs="Times New Roman"/>
                <w:sz w:val="24"/>
                <w:szCs w:val="24"/>
                <w:lang w:eastAsia="en-GB"/>
              </w:rPr>
            </w:pPr>
            <w:r w:rsidRPr="00300413">
              <w:rPr>
                <w:rFonts w:ascii="Arial Nova" w:eastAsia="Times New Roman" w:hAnsi="Arial Nova" w:cs="Times New Roman"/>
                <w:sz w:val="24"/>
                <w:szCs w:val="24"/>
                <w:lang w:eastAsia="en-GB"/>
              </w:rPr>
              <w:t>Behaviour Management, Student Wellbeing, Pastoral and Inclusion: oversee and monitor low-level behaviour concerns, support behaviour operations where necessary and promote great behaviour through positive role modelling, high expectations and proactive measures. Take a proactive role in the welfare and pastoral care of students within selected year groups, including those at risk of disengagement, and support Heads of Year, tutors, year teams, families and external agencies as appropriate.</w:t>
            </w:r>
          </w:p>
          <w:p w14:paraId="114EFEB4" w14:textId="77777777" w:rsidR="00300413" w:rsidRPr="00300413" w:rsidRDefault="00300413" w:rsidP="00300413">
            <w:pPr>
              <w:tabs>
                <w:tab w:val="left" w:pos="2925"/>
              </w:tabs>
              <w:rPr>
                <w:rFonts w:ascii="Arial Nova" w:eastAsia="Times New Roman" w:hAnsi="Arial Nova" w:cs="Times New Roman"/>
                <w:sz w:val="24"/>
                <w:szCs w:val="24"/>
                <w:lang w:eastAsia="en-GB"/>
              </w:rPr>
            </w:pPr>
          </w:p>
          <w:p w14:paraId="759105F2" w14:textId="77777777" w:rsidR="00300413" w:rsidRPr="00300413" w:rsidRDefault="00300413" w:rsidP="00300413">
            <w:pPr>
              <w:tabs>
                <w:tab w:val="left" w:pos="2925"/>
              </w:tabs>
              <w:rPr>
                <w:rFonts w:ascii="Arial Nova" w:eastAsia="Times New Roman" w:hAnsi="Arial Nova" w:cs="Times New Roman"/>
                <w:sz w:val="24"/>
                <w:szCs w:val="24"/>
                <w:lang w:eastAsia="en-GB"/>
              </w:rPr>
            </w:pPr>
            <w:r w:rsidRPr="00300413">
              <w:rPr>
                <w:rFonts w:ascii="Arial Nova" w:eastAsia="Times New Roman" w:hAnsi="Arial Nova" w:cs="Times New Roman"/>
                <w:sz w:val="24"/>
                <w:szCs w:val="24"/>
                <w:lang w:eastAsia="en-GB"/>
              </w:rPr>
              <w:t>Trust Culture and Other: work in line with school and Trust policies, including safeguarding requirements, and contribute to positive communication with families and stakeholders. Undertake any other duties that reasonably fall within the purview of the post after consultation with the postholder.</w:t>
            </w:r>
          </w:p>
          <w:p w14:paraId="5B1BA464" w14:textId="3BC2A8EB" w:rsidR="00992C95" w:rsidRPr="00BD2DA8" w:rsidRDefault="00992C95" w:rsidP="00B41B02">
            <w:pPr>
              <w:tabs>
                <w:tab w:val="left" w:pos="2925"/>
              </w:tabs>
              <w:rPr>
                <w:rStyle w:val="normaltextrun"/>
                <w:rFonts w:ascii="Arial Nova" w:hAnsi="Arial Nova"/>
                <w:color w:val="000000"/>
                <w:sz w:val="24"/>
                <w:szCs w:val="24"/>
                <w:shd w:val="clear" w:color="auto" w:fill="FFFFFF"/>
              </w:rPr>
            </w:pPr>
          </w:p>
        </w:tc>
      </w:tr>
      <w:tr w:rsidR="002F52A9" w:rsidRPr="00BD2DA8" w14:paraId="1AB9C9E9" w14:textId="77777777" w:rsidTr="00D23265">
        <w:trPr>
          <w:trHeight w:val="547"/>
        </w:trPr>
        <w:tc>
          <w:tcPr>
            <w:tcW w:w="3256" w:type="dxa"/>
            <w:shd w:val="clear" w:color="auto" w:fill="BDD6EE" w:themeFill="accent1" w:themeFillTint="66"/>
            <w:vAlign w:val="center"/>
          </w:tcPr>
          <w:p w14:paraId="045D6F2F" w14:textId="1D574C06" w:rsidR="002F52A9" w:rsidRPr="00BD2DA8" w:rsidRDefault="002F52A9" w:rsidP="002F52A9">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2F52A9" w:rsidRPr="00BD2DA8" w:rsidRDefault="002F52A9" w:rsidP="002F52A9">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students, parents and carers, plus external partners. These relationships are central to creating a collaborative, supportive environment that enables shared success and strong outcomes for all.</w:t>
            </w:r>
          </w:p>
        </w:tc>
      </w:tr>
      <w:tr w:rsidR="002F52A9" w:rsidRPr="00BD2DA8" w14:paraId="2386E946" w14:textId="77777777" w:rsidTr="00D23265">
        <w:trPr>
          <w:trHeight w:val="547"/>
        </w:trPr>
        <w:tc>
          <w:tcPr>
            <w:tcW w:w="3256" w:type="dxa"/>
            <w:shd w:val="clear" w:color="auto" w:fill="BDD6EE" w:themeFill="accent1" w:themeFillTint="66"/>
            <w:vAlign w:val="center"/>
          </w:tcPr>
          <w:p w14:paraId="7E106289" w14:textId="014505ED" w:rsidR="002F52A9" w:rsidRPr="00BD2DA8" w:rsidRDefault="002F52A9" w:rsidP="002F52A9">
            <w:pPr>
              <w:tabs>
                <w:tab w:val="left" w:pos="2925"/>
              </w:tabs>
              <w:rPr>
                <w:rFonts w:ascii="Arial Nova" w:hAnsi="Arial Nova" w:cs="Arial"/>
                <w:b/>
                <w:sz w:val="24"/>
                <w:szCs w:val="24"/>
              </w:rPr>
            </w:pPr>
            <w:r w:rsidRPr="00BD2DA8">
              <w:rPr>
                <w:rFonts w:ascii="Arial Nova" w:hAnsi="Arial Nova" w:cs="Arial"/>
                <w:b/>
                <w:sz w:val="24"/>
                <w:szCs w:val="24"/>
              </w:rPr>
              <w:t xml:space="preserve">Supporting Maiden </w:t>
            </w:r>
            <w:proofErr w:type="spellStart"/>
            <w:r w:rsidRPr="00BD2DA8">
              <w:rPr>
                <w:rFonts w:ascii="Arial Nova" w:hAnsi="Arial Nova" w:cs="Arial"/>
                <w:b/>
                <w:sz w:val="24"/>
                <w:szCs w:val="24"/>
              </w:rPr>
              <w:t>Erlegh</w:t>
            </w:r>
            <w:proofErr w:type="spellEnd"/>
            <w:r w:rsidRPr="00BD2DA8">
              <w:rPr>
                <w:rFonts w:ascii="Arial Nova" w:hAnsi="Arial Nova" w:cs="Arial"/>
                <w:b/>
                <w:sz w:val="24"/>
                <w:szCs w:val="24"/>
              </w:rPr>
              <w:t xml:space="preserve"> Trust</w:t>
            </w:r>
          </w:p>
        </w:tc>
        <w:tc>
          <w:tcPr>
            <w:tcW w:w="7200" w:type="dxa"/>
            <w:gridSpan w:val="4"/>
          </w:tcPr>
          <w:p w14:paraId="55A12EA2" w14:textId="2219E5EA" w:rsidR="002F52A9" w:rsidRPr="00BD2DA8" w:rsidRDefault="002F52A9" w:rsidP="002F52A9">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2F52A9" w:rsidRPr="00BD2DA8" w14:paraId="116FF71A" w14:textId="77777777" w:rsidTr="00D23265">
        <w:trPr>
          <w:trHeight w:val="547"/>
        </w:trPr>
        <w:tc>
          <w:tcPr>
            <w:tcW w:w="3256" w:type="dxa"/>
            <w:shd w:val="clear" w:color="auto" w:fill="BDD6EE" w:themeFill="accent1" w:themeFillTint="66"/>
            <w:vAlign w:val="center"/>
          </w:tcPr>
          <w:p w14:paraId="2E6ED43E" w14:textId="371D999E" w:rsidR="002F52A9" w:rsidRPr="00BD2DA8" w:rsidRDefault="002F52A9" w:rsidP="002F52A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2F52A9" w:rsidRPr="00BD2DA8" w:rsidRDefault="002F52A9" w:rsidP="002F52A9">
            <w:pPr>
              <w:tabs>
                <w:tab w:val="left" w:pos="2925"/>
              </w:tabs>
              <w:rPr>
                <w:rFonts w:ascii="Arial Nova" w:hAnsi="Arial Nova" w:cs="Arial"/>
                <w:b/>
                <w:sz w:val="24"/>
                <w:szCs w:val="24"/>
              </w:rPr>
            </w:pPr>
          </w:p>
        </w:tc>
        <w:tc>
          <w:tcPr>
            <w:tcW w:w="7200" w:type="dxa"/>
            <w:gridSpan w:val="4"/>
          </w:tcPr>
          <w:p w14:paraId="2807936A" w14:textId="77777777" w:rsidR="00DF20FB" w:rsidRDefault="00DF20FB" w:rsidP="00DF20FB">
            <w:pPr>
              <w:pStyle w:val="NormalWeb"/>
              <w:rPr>
                <w:rStyle w:val="Strong"/>
                <w:rFonts w:ascii="Arial Nova" w:hAnsi="Arial Nova"/>
              </w:rPr>
            </w:pPr>
            <w:r w:rsidRPr="0022585A">
              <w:rPr>
                <w:rStyle w:val="Strong"/>
                <w:rFonts w:ascii="Arial Nova" w:hAnsi="Arial Nova"/>
              </w:rPr>
              <w:t>Teaching and Learning</w:t>
            </w:r>
          </w:p>
          <w:p w14:paraId="3B999BE1" w14:textId="165DBD07" w:rsidR="000E3E39" w:rsidRPr="000E3E39" w:rsidRDefault="000E3E39" w:rsidP="000E3E39">
            <w:pPr>
              <w:pStyle w:val="NormalWeb"/>
              <w:numPr>
                <w:ilvl w:val="0"/>
                <w:numId w:val="41"/>
              </w:numPr>
              <w:rPr>
                <w:rFonts w:ascii="Arial Nova" w:hAnsi="Arial Nova"/>
              </w:rPr>
            </w:pPr>
            <w:r w:rsidRPr="000E3E39">
              <w:rPr>
                <w:rFonts w:ascii="Arial Nova" w:hAnsi="Arial Nova"/>
              </w:rPr>
              <w:t xml:space="preserve">Promote a positive ethos of learning through high expectations of all student interactions, conduct, behaviour, punctuality, uniform and equipment. </w:t>
            </w:r>
          </w:p>
          <w:p w14:paraId="0EFDE8D3" w14:textId="25297FF3" w:rsidR="000E3E39" w:rsidRPr="000E3E39" w:rsidRDefault="000E3E39" w:rsidP="000E3E39">
            <w:pPr>
              <w:pStyle w:val="NormalWeb"/>
              <w:numPr>
                <w:ilvl w:val="0"/>
                <w:numId w:val="41"/>
              </w:numPr>
              <w:rPr>
                <w:rFonts w:ascii="Arial Nova" w:hAnsi="Arial Nova"/>
              </w:rPr>
            </w:pPr>
            <w:r w:rsidRPr="000E3E39">
              <w:rPr>
                <w:rFonts w:ascii="Arial Nova" w:hAnsi="Arial Nova"/>
              </w:rPr>
              <w:t xml:space="preserve">Promote great behaviour across selected year groups by being a positive role model, setting high expectations and using proactive measures. </w:t>
            </w:r>
          </w:p>
          <w:p w14:paraId="3DD99136" w14:textId="27C57DB2" w:rsidR="000E3E39" w:rsidRPr="000E3E39" w:rsidRDefault="000E3E39" w:rsidP="000E3E39">
            <w:pPr>
              <w:pStyle w:val="NormalWeb"/>
              <w:numPr>
                <w:ilvl w:val="0"/>
                <w:numId w:val="41"/>
              </w:numPr>
              <w:rPr>
                <w:rFonts w:ascii="Arial Nova" w:hAnsi="Arial Nova"/>
              </w:rPr>
            </w:pPr>
            <w:r w:rsidRPr="000E3E39">
              <w:rPr>
                <w:rFonts w:ascii="Arial Nova" w:hAnsi="Arial Nova"/>
              </w:rPr>
              <w:t xml:space="preserve">Act as a positive advocate for students, promoting an inclusive atmosphere and supporting their engagement with school life to strengthen students’ readiness to learn. </w:t>
            </w:r>
          </w:p>
          <w:p w14:paraId="4378F60F" w14:textId="77777777" w:rsidR="00254028" w:rsidRDefault="000E3E39" w:rsidP="000E3E39">
            <w:pPr>
              <w:pStyle w:val="NormalWeb"/>
              <w:numPr>
                <w:ilvl w:val="0"/>
                <w:numId w:val="41"/>
              </w:numPr>
              <w:rPr>
                <w:rFonts w:ascii="Arial Nova" w:hAnsi="Arial Nova"/>
              </w:rPr>
            </w:pPr>
            <w:r w:rsidRPr="000E3E39">
              <w:rPr>
                <w:rFonts w:ascii="Arial Nova" w:hAnsi="Arial Nova"/>
              </w:rPr>
              <w:t>Support tutors, Heads of Year and year teams to provide strong pastoral support for all students.</w:t>
            </w:r>
            <w:r w:rsidR="00254028">
              <w:rPr>
                <w:rFonts w:ascii="Arial Nova" w:hAnsi="Arial Nova"/>
              </w:rPr>
              <w:t xml:space="preserve"> </w:t>
            </w:r>
          </w:p>
          <w:p w14:paraId="5EA4A50C" w14:textId="466C4AA8" w:rsidR="000E3E39" w:rsidRPr="000E3E39" w:rsidRDefault="00254028" w:rsidP="000E3E39">
            <w:pPr>
              <w:pStyle w:val="NormalWeb"/>
              <w:numPr>
                <w:ilvl w:val="0"/>
                <w:numId w:val="41"/>
              </w:numPr>
              <w:rPr>
                <w:rFonts w:ascii="Arial Nova" w:hAnsi="Arial Nova"/>
              </w:rPr>
            </w:pPr>
            <w:r w:rsidRPr="00254028">
              <w:rPr>
                <w:rFonts w:ascii="Arial Nova" w:hAnsi="Arial Nova"/>
              </w:rPr>
              <w:t>Support the Heads of Year in maintaining positive communication with families and stakeholders.</w:t>
            </w:r>
          </w:p>
          <w:p w14:paraId="24CB592B" w14:textId="12846DED" w:rsidR="00DF20FB" w:rsidRPr="0022585A" w:rsidRDefault="00DF20FB" w:rsidP="000E3E39">
            <w:pPr>
              <w:pStyle w:val="NormalWeb"/>
              <w:rPr>
                <w:rFonts w:ascii="Arial Nova" w:hAnsi="Arial Nova"/>
              </w:rPr>
            </w:pPr>
            <w:r w:rsidRPr="0022585A">
              <w:rPr>
                <w:rStyle w:val="Strong"/>
                <w:rFonts w:ascii="Arial Nova" w:hAnsi="Arial Nova"/>
              </w:rPr>
              <w:t>Assessment</w:t>
            </w:r>
          </w:p>
          <w:p w14:paraId="7A4F4165" w14:textId="0CCA802D" w:rsidR="0017604F" w:rsidRPr="0017604F" w:rsidRDefault="0017604F" w:rsidP="0017604F">
            <w:pPr>
              <w:pStyle w:val="NormalWeb"/>
              <w:numPr>
                <w:ilvl w:val="0"/>
                <w:numId w:val="42"/>
              </w:numPr>
              <w:rPr>
                <w:rFonts w:ascii="Arial Nova" w:hAnsi="Arial Nova"/>
              </w:rPr>
            </w:pPr>
            <w:r w:rsidRPr="0017604F">
              <w:rPr>
                <w:rFonts w:ascii="Arial Nova" w:hAnsi="Arial Nova"/>
              </w:rPr>
              <w:t xml:space="preserve">Support Heads of Year in monitoring students who are on report, Individual Behaviour Plans or Pastoral Support Plans. </w:t>
            </w:r>
          </w:p>
          <w:p w14:paraId="4D8CB1F5" w14:textId="4FA3E7EF" w:rsidR="0017604F" w:rsidRPr="0017604F" w:rsidRDefault="0017604F" w:rsidP="0017604F">
            <w:pPr>
              <w:pStyle w:val="NormalWeb"/>
              <w:numPr>
                <w:ilvl w:val="0"/>
                <w:numId w:val="42"/>
              </w:numPr>
              <w:rPr>
                <w:rFonts w:ascii="Arial Nova" w:hAnsi="Arial Nova"/>
              </w:rPr>
            </w:pPr>
            <w:r w:rsidRPr="0017604F">
              <w:rPr>
                <w:rFonts w:ascii="Arial Nova" w:hAnsi="Arial Nova"/>
              </w:rPr>
              <w:t xml:space="preserve">Support Heads of Year and the Attendance Officer in monitoring students’ attendance in selected year groups, with a specific focus on students whose attendance is between 96% and 90%. </w:t>
            </w:r>
          </w:p>
          <w:p w14:paraId="2993DDFF" w14:textId="5E058E65" w:rsidR="0017604F" w:rsidRPr="0017604F" w:rsidRDefault="0017604F" w:rsidP="0017604F">
            <w:pPr>
              <w:pStyle w:val="NormalWeb"/>
              <w:numPr>
                <w:ilvl w:val="0"/>
                <w:numId w:val="42"/>
              </w:numPr>
              <w:rPr>
                <w:rFonts w:ascii="Arial Nova" w:hAnsi="Arial Nova"/>
              </w:rPr>
            </w:pPr>
            <w:r w:rsidRPr="0017604F">
              <w:rPr>
                <w:rFonts w:ascii="Arial Nova" w:hAnsi="Arial Nova"/>
              </w:rPr>
              <w:t xml:space="preserve">Liaise with Heads of Year and the Attendance Officer to monitor and track attendance, identify patterns and address issues impacting attendance. </w:t>
            </w:r>
          </w:p>
          <w:p w14:paraId="28B838E2" w14:textId="163498FA" w:rsidR="0017604F" w:rsidRPr="0017604F" w:rsidRDefault="0017604F" w:rsidP="0017604F">
            <w:pPr>
              <w:pStyle w:val="NormalWeb"/>
              <w:numPr>
                <w:ilvl w:val="0"/>
                <w:numId w:val="42"/>
              </w:numPr>
              <w:rPr>
                <w:rFonts w:ascii="Arial Nova" w:hAnsi="Arial Nova"/>
              </w:rPr>
            </w:pPr>
            <w:r w:rsidRPr="0017604F">
              <w:rPr>
                <w:rFonts w:ascii="Arial Nova" w:hAnsi="Arial Nova"/>
              </w:rPr>
              <w:t xml:space="preserve">Monitor students’ punctuality to school and lessons, communicating with Heads of Year and tutors to promote proactive measures to address poor punctuality. </w:t>
            </w:r>
          </w:p>
          <w:p w14:paraId="1D22D99D" w14:textId="7ADD71F4" w:rsidR="007433B4" w:rsidRPr="007433B4" w:rsidRDefault="0017604F" w:rsidP="0017604F">
            <w:pPr>
              <w:pStyle w:val="NormalWeb"/>
              <w:numPr>
                <w:ilvl w:val="0"/>
                <w:numId w:val="42"/>
              </w:numPr>
              <w:rPr>
                <w:rFonts w:ascii="Arial Nova" w:hAnsi="Arial Nova"/>
              </w:rPr>
            </w:pPr>
            <w:r w:rsidRPr="0017604F">
              <w:rPr>
                <w:rFonts w:ascii="Arial Nova" w:hAnsi="Arial Nova"/>
              </w:rPr>
              <w:t xml:space="preserve">Use behaviour, attendance and punctuality information to identify patterns and support appropriate </w:t>
            </w:r>
            <w:proofErr w:type="gramStart"/>
            <w:r w:rsidRPr="0017604F">
              <w:rPr>
                <w:rFonts w:ascii="Arial Nova" w:hAnsi="Arial Nova"/>
              </w:rPr>
              <w:t>action.</w:t>
            </w:r>
            <w:r w:rsidR="007433B4" w:rsidRPr="007433B4">
              <w:rPr>
                <w:rFonts w:ascii="Arial Nova" w:hAnsi="Arial Nova"/>
              </w:rPr>
              <w:t>.</w:t>
            </w:r>
            <w:proofErr w:type="gramEnd"/>
          </w:p>
          <w:p w14:paraId="163869D5" w14:textId="389D057C" w:rsidR="00DF20FB" w:rsidRPr="0022585A" w:rsidRDefault="00DF20FB" w:rsidP="007433B4">
            <w:pPr>
              <w:pStyle w:val="NormalWeb"/>
              <w:rPr>
                <w:rFonts w:ascii="Arial Nova" w:hAnsi="Arial Nova"/>
              </w:rPr>
            </w:pPr>
            <w:r w:rsidRPr="0022585A">
              <w:rPr>
                <w:rStyle w:val="Strong"/>
                <w:rFonts w:ascii="Arial Nova" w:hAnsi="Arial Nova"/>
              </w:rPr>
              <w:lastRenderedPageBreak/>
              <w:t>Behaviour Management and Student Wellbeing</w:t>
            </w:r>
          </w:p>
          <w:p w14:paraId="6772F87D" w14:textId="2CD3FBB7" w:rsidR="009E6F44" w:rsidRPr="009E6F44" w:rsidRDefault="009E6F44" w:rsidP="009E6F44">
            <w:pPr>
              <w:pStyle w:val="NormalWeb"/>
              <w:numPr>
                <w:ilvl w:val="0"/>
                <w:numId w:val="43"/>
              </w:numPr>
              <w:rPr>
                <w:rFonts w:ascii="Arial Nova" w:hAnsi="Arial Nova"/>
              </w:rPr>
            </w:pPr>
            <w:r w:rsidRPr="009E6F44">
              <w:rPr>
                <w:rFonts w:ascii="Arial Nova" w:hAnsi="Arial Nova"/>
              </w:rPr>
              <w:t xml:space="preserve">Oversee and monitor low-level behaviour concerns within selected year groups and support appropriate actions. </w:t>
            </w:r>
          </w:p>
          <w:p w14:paraId="40B3C54D" w14:textId="5B6C5DB7" w:rsidR="009E6F44" w:rsidRPr="009E6F44" w:rsidRDefault="009E6F44" w:rsidP="009E6F44">
            <w:pPr>
              <w:pStyle w:val="NormalWeb"/>
              <w:numPr>
                <w:ilvl w:val="0"/>
                <w:numId w:val="43"/>
              </w:numPr>
              <w:rPr>
                <w:rFonts w:ascii="Arial Nova" w:hAnsi="Arial Nova"/>
              </w:rPr>
            </w:pPr>
            <w:r w:rsidRPr="009E6F44">
              <w:rPr>
                <w:rFonts w:ascii="Arial Nova" w:hAnsi="Arial Nova"/>
              </w:rPr>
              <w:t xml:space="preserve">Identify and work with students at risk of disengagement, applying appropriate strategies and interventions. </w:t>
            </w:r>
          </w:p>
          <w:p w14:paraId="4BA4F868" w14:textId="67542532" w:rsidR="009E6F44" w:rsidRPr="009E6F44" w:rsidRDefault="009E6F44" w:rsidP="009E6F44">
            <w:pPr>
              <w:pStyle w:val="NormalWeb"/>
              <w:numPr>
                <w:ilvl w:val="0"/>
                <w:numId w:val="43"/>
              </w:numPr>
              <w:rPr>
                <w:rFonts w:ascii="Arial Nova" w:hAnsi="Arial Nova"/>
              </w:rPr>
            </w:pPr>
            <w:r w:rsidRPr="009E6F44">
              <w:rPr>
                <w:rFonts w:ascii="Arial Nova" w:hAnsi="Arial Nova"/>
              </w:rPr>
              <w:t xml:space="preserve">Support school behaviour operations where necessary. </w:t>
            </w:r>
          </w:p>
          <w:p w14:paraId="77AC0352" w14:textId="77777777" w:rsidR="009E6F44" w:rsidRPr="009E6F44" w:rsidRDefault="009E6F44" w:rsidP="004C59FD">
            <w:pPr>
              <w:pStyle w:val="NormalWeb"/>
              <w:numPr>
                <w:ilvl w:val="0"/>
                <w:numId w:val="43"/>
              </w:numPr>
              <w:rPr>
                <w:rFonts w:ascii="Arial Nova" w:hAnsi="Arial Nova"/>
                <w:b/>
                <w:bCs/>
              </w:rPr>
            </w:pPr>
            <w:r w:rsidRPr="009E6F44">
              <w:rPr>
                <w:rFonts w:ascii="Arial Nova" w:hAnsi="Arial Nova"/>
              </w:rPr>
              <w:t xml:space="preserve">Communicate and meet with parents and students where appropriate to promote positive attendance and punctuality. </w:t>
            </w:r>
          </w:p>
          <w:p w14:paraId="5B28B32D" w14:textId="77777777" w:rsidR="009E6F44" w:rsidRPr="009E6F44" w:rsidRDefault="009E6F44" w:rsidP="004C59FD">
            <w:pPr>
              <w:pStyle w:val="NormalWeb"/>
              <w:numPr>
                <w:ilvl w:val="0"/>
                <w:numId w:val="43"/>
              </w:numPr>
              <w:rPr>
                <w:rFonts w:ascii="Arial Nova" w:hAnsi="Arial Nova"/>
                <w:b/>
                <w:bCs/>
              </w:rPr>
            </w:pPr>
            <w:r w:rsidRPr="009E6F44">
              <w:rPr>
                <w:rFonts w:ascii="Arial Nova" w:hAnsi="Arial Nova"/>
              </w:rPr>
              <w:t>Take a proactive role in the welfare and pastoral care of students within selected year groups</w:t>
            </w:r>
          </w:p>
          <w:p w14:paraId="17BA4EBD" w14:textId="7DAD6E4D" w:rsidR="00DF20FB" w:rsidRPr="009E6F44" w:rsidRDefault="009E6F44" w:rsidP="009E6F44">
            <w:pPr>
              <w:pStyle w:val="NormalWeb"/>
              <w:rPr>
                <w:rStyle w:val="Strong"/>
                <w:rFonts w:ascii="Arial Nova" w:hAnsi="Arial Nova"/>
              </w:rPr>
            </w:pPr>
            <w:r w:rsidRPr="009E6F44">
              <w:rPr>
                <w:rFonts w:ascii="Arial Nova" w:hAnsi="Arial Nova"/>
                <w:b/>
                <w:bCs/>
              </w:rPr>
              <w:t xml:space="preserve"> </w:t>
            </w:r>
            <w:r w:rsidR="00DF20FB" w:rsidRPr="009E6F44">
              <w:rPr>
                <w:rStyle w:val="Strong"/>
                <w:rFonts w:ascii="Arial Nova" w:hAnsi="Arial Nova"/>
              </w:rPr>
              <w:t>Pastoral and Inclusion</w:t>
            </w:r>
          </w:p>
          <w:p w14:paraId="78B4C6AC" w14:textId="58CE159E" w:rsidR="00D83887" w:rsidRPr="00D83887" w:rsidRDefault="00D83887" w:rsidP="00D83887">
            <w:pPr>
              <w:pStyle w:val="NormalWeb"/>
              <w:numPr>
                <w:ilvl w:val="0"/>
                <w:numId w:val="44"/>
              </w:numPr>
              <w:rPr>
                <w:rFonts w:ascii="Arial Nova" w:hAnsi="Arial Nova"/>
              </w:rPr>
            </w:pPr>
            <w:r w:rsidRPr="00D83887">
              <w:rPr>
                <w:rFonts w:ascii="Arial Nova" w:hAnsi="Arial Nova"/>
              </w:rPr>
              <w:t xml:space="preserve">Support Heads of Year and the safeguarding team where necessary, ensuring any concerns are reported in line with policy and in a timely manner. </w:t>
            </w:r>
          </w:p>
          <w:p w14:paraId="4A36AF4B" w14:textId="2A8559AD" w:rsidR="00D83887" w:rsidRPr="00D83887" w:rsidRDefault="00D83887" w:rsidP="00D83887">
            <w:pPr>
              <w:pStyle w:val="NormalWeb"/>
              <w:numPr>
                <w:ilvl w:val="0"/>
                <w:numId w:val="44"/>
              </w:numPr>
              <w:rPr>
                <w:rFonts w:ascii="Arial Nova" w:hAnsi="Arial Nova"/>
              </w:rPr>
            </w:pPr>
            <w:r w:rsidRPr="00D83887">
              <w:rPr>
                <w:rFonts w:ascii="Arial Nova" w:hAnsi="Arial Nova"/>
              </w:rPr>
              <w:t xml:space="preserve">Promote a positive and inclusive atmosphere for students. </w:t>
            </w:r>
          </w:p>
          <w:p w14:paraId="2EEF9EFF" w14:textId="75202B15" w:rsidR="00D83887" w:rsidRPr="00D83887" w:rsidRDefault="00D83887" w:rsidP="00D83887">
            <w:pPr>
              <w:pStyle w:val="NormalWeb"/>
              <w:numPr>
                <w:ilvl w:val="0"/>
                <w:numId w:val="44"/>
              </w:numPr>
              <w:rPr>
                <w:rFonts w:ascii="Arial Nova" w:hAnsi="Arial Nova"/>
              </w:rPr>
            </w:pPr>
            <w:r w:rsidRPr="00D83887">
              <w:rPr>
                <w:rFonts w:ascii="Arial Nova" w:hAnsi="Arial Nova"/>
              </w:rPr>
              <w:t xml:space="preserve">Liaise with external agencies as appropriate. </w:t>
            </w:r>
          </w:p>
          <w:p w14:paraId="295E0EA6" w14:textId="77777777" w:rsidR="00D83887" w:rsidRDefault="00D83887" w:rsidP="009B41C9">
            <w:pPr>
              <w:pStyle w:val="NormalWeb"/>
              <w:numPr>
                <w:ilvl w:val="0"/>
                <w:numId w:val="44"/>
              </w:numPr>
              <w:rPr>
                <w:rFonts w:ascii="Arial Nova" w:hAnsi="Arial Nova"/>
              </w:rPr>
            </w:pPr>
            <w:r w:rsidRPr="00D83887">
              <w:rPr>
                <w:rFonts w:ascii="Arial Nova" w:hAnsi="Arial Nova"/>
              </w:rPr>
              <w:t xml:space="preserve">Support students, families, tutors, Heads of Year and year teams through positive communication and appropriate pastoral action. </w:t>
            </w:r>
          </w:p>
          <w:p w14:paraId="6DA91796" w14:textId="02F2C2B1" w:rsidR="00D83887" w:rsidRPr="00D83887" w:rsidRDefault="00D83887" w:rsidP="009B41C9">
            <w:pPr>
              <w:pStyle w:val="NormalWeb"/>
              <w:numPr>
                <w:ilvl w:val="0"/>
                <w:numId w:val="44"/>
              </w:numPr>
              <w:rPr>
                <w:rFonts w:ascii="Arial Nova" w:hAnsi="Arial Nova"/>
              </w:rPr>
            </w:pPr>
            <w:r w:rsidRPr="00D83887">
              <w:rPr>
                <w:rFonts w:ascii="Arial Nova" w:hAnsi="Arial Nova"/>
              </w:rPr>
              <w:t>Contribute to the identification and support of students whose behaviour, attendance, punctuality or welfare may place them at risk of disengagement to promote sustained inclusion and participation.</w:t>
            </w:r>
          </w:p>
          <w:p w14:paraId="4E5D89C7" w14:textId="57F420E8" w:rsidR="00DF20FB" w:rsidRPr="00D83887" w:rsidRDefault="00DF20FB" w:rsidP="00D83887">
            <w:pPr>
              <w:pStyle w:val="NormalWeb"/>
              <w:rPr>
                <w:rFonts w:ascii="Arial Nova" w:hAnsi="Arial Nova"/>
              </w:rPr>
            </w:pPr>
            <w:r w:rsidRPr="00D83887">
              <w:rPr>
                <w:rStyle w:val="Strong"/>
                <w:rFonts w:ascii="Arial Nova" w:hAnsi="Arial Nova"/>
              </w:rPr>
              <w:t>Trust Culture</w:t>
            </w:r>
          </w:p>
          <w:p w14:paraId="73762FB8" w14:textId="3623BCD9" w:rsidR="00E808AB" w:rsidRPr="00E808AB" w:rsidRDefault="00E808AB" w:rsidP="00E808AB">
            <w:pPr>
              <w:pStyle w:val="NormalWeb"/>
              <w:numPr>
                <w:ilvl w:val="0"/>
                <w:numId w:val="45"/>
              </w:numPr>
              <w:rPr>
                <w:rFonts w:ascii="Arial Nova" w:hAnsi="Arial Nova"/>
              </w:rPr>
            </w:pPr>
            <w:r w:rsidRPr="00E808AB">
              <w:rPr>
                <w:rFonts w:ascii="Arial Nova" w:hAnsi="Arial Nova"/>
              </w:rPr>
              <w:t xml:space="preserve">Work in line with school and Trust policies, including safeguarding, equality, welfare, conduct and behaviour expectations. </w:t>
            </w:r>
          </w:p>
          <w:p w14:paraId="1811A41A" w14:textId="14109251" w:rsidR="00E808AB" w:rsidRPr="00E808AB" w:rsidRDefault="00E808AB" w:rsidP="00E808AB">
            <w:pPr>
              <w:pStyle w:val="NormalWeb"/>
              <w:numPr>
                <w:ilvl w:val="0"/>
                <w:numId w:val="45"/>
              </w:numPr>
              <w:rPr>
                <w:rFonts w:ascii="Arial Nova" w:hAnsi="Arial Nova"/>
              </w:rPr>
            </w:pPr>
            <w:r w:rsidRPr="00E808AB">
              <w:rPr>
                <w:rFonts w:ascii="Arial Nova" w:hAnsi="Arial Nova"/>
              </w:rPr>
              <w:t xml:space="preserve">Maintain high expectations of students and contribute to a positive culture across the relevant year groups. </w:t>
            </w:r>
          </w:p>
          <w:p w14:paraId="77D12F77" w14:textId="5AC9F62E" w:rsidR="00E808AB" w:rsidRPr="00E808AB" w:rsidRDefault="00E808AB" w:rsidP="00E808AB">
            <w:pPr>
              <w:pStyle w:val="NormalWeb"/>
              <w:numPr>
                <w:ilvl w:val="0"/>
                <w:numId w:val="45"/>
              </w:numPr>
              <w:rPr>
                <w:rFonts w:ascii="Arial Nova" w:hAnsi="Arial Nova"/>
              </w:rPr>
            </w:pPr>
            <w:r w:rsidRPr="00E808AB">
              <w:rPr>
                <w:rFonts w:ascii="Arial Nova" w:hAnsi="Arial Nova"/>
              </w:rPr>
              <w:t xml:space="preserve">Work collaboratively with Heads of Year, tutors, pastoral colleagues, inclusion colleagues, safeguarding colleagues, families and external agencies. </w:t>
            </w:r>
          </w:p>
          <w:p w14:paraId="01DE04D2" w14:textId="77777777" w:rsidR="00E808AB" w:rsidRDefault="00E808AB" w:rsidP="00216FF6">
            <w:pPr>
              <w:pStyle w:val="NormalWeb"/>
              <w:numPr>
                <w:ilvl w:val="0"/>
                <w:numId w:val="45"/>
              </w:numPr>
              <w:rPr>
                <w:rFonts w:ascii="Arial Nova" w:hAnsi="Arial Nova"/>
              </w:rPr>
            </w:pPr>
            <w:r w:rsidRPr="00E808AB">
              <w:rPr>
                <w:rFonts w:ascii="Arial Nova" w:hAnsi="Arial Nova"/>
              </w:rPr>
              <w:t xml:space="preserve">Share in Maiden </w:t>
            </w:r>
            <w:proofErr w:type="spellStart"/>
            <w:r w:rsidRPr="00E808AB">
              <w:rPr>
                <w:rFonts w:ascii="Arial Nova" w:hAnsi="Arial Nova"/>
              </w:rPr>
              <w:t>Erlegh</w:t>
            </w:r>
            <w:proofErr w:type="spellEnd"/>
            <w:r w:rsidRPr="00E808AB">
              <w:rPr>
                <w:rFonts w:ascii="Arial Nova" w:hAnsi="Arial Nova"/>
              </w:rPr>
              <w:t xml:space="preserve"> Trust’s commitment to safeguarding, equality and promoting the welfare of children and young people. </w:t>
            </w:r>
          </w:p>
          <w:p w14:paraId="4DF0FF05" w14:textId="0CC192D6" w:rsidR="00E808AB" w:rsidRPr="00094113" w:rsidRDefault="00E808AB" w:rsidP="00094113">
            <w:pPr>
              <w:pStyle w:val="NormalWeb"/>
              <w:numPr>
                <w:ilvl w:val="0"/>
                <w:numId w:val="45"/>
              </w:numPr>
              <w:rPr>
                <w:rStyle w:val="Strong"/>
                <w:rFonts w:ascii="Arial Nova" w:hAnsi="Arial Nova"/>
                <w:b w:val="0"/>
                <w:bCs w:val="0"/>
              </w:rPr>
            </w:pPr>
            <w:r w:rsidRPr="00E808AB">
              <w:rPr>
                <w:rFonts w:ascii="Arial Nova" w:hAnsi="Arial Nova"/>
              </w:rPr>
              <w:t xml:space="preserve">Support the effective working of the school and Maiden </w:t>
            </w:r>
            <w:proofErr w:type="spellStart"/>
            <w:r w:rsidRPr="00E808AB">
              <w:rPr>
                <w:rFonts w:ascii="Arial Nova" w:hAnsi="Arial Nova"/>
              </w:rPr>
              <w:t>Erlegh</w:t>
            </w:r>
            <w:proofErr w:type="spellEnd"/>
            <w:r w:rsidRPr="00E808AB">
              <w:rPr>
                <w:rFonts w:ascii="Arial Nova" w:hAnsi="Arial Nova"/>
              </w:rPr>
              <w:t xml:space="preserve"> Trust through professional conduct, positive relationships and appropriate communication.</w:t>
            </w:r>
          </w:p>
          <w:p w14:paraId="54C8C1B4" w14:textId="1549DEB2" w:rsidR="00DF20FB" w:rsidRPr="00E808AB" w:rsidRDefault="00DF20FB" w:rsidP="00E808AB">
            <w:pPr>
              <w:pStyle w:val="NormalWeb"/>
              <w:rPr>
                <w:rFonts w:ascii="Arial Nova" w:hAnsi="Arial Nova"/>
              </w:rPr>
            </w:pPr>
            <w:r w:rsidRPr="00E808AB">
              <w:rPr>
                <w:rStyle w:val="Strong"/>
                <w:rFonts w:ascii="Arial Nova" w:hAnsi="Arial Nova"/>
              </w:rPr>
              <w:lastRenderedPageBreak/>
              <w:t>Other</w:t>
            </w:r>
          </w:p>
          <w:p w14:paraId="34464D11" w14:textId="77777777" w:rsidR="00094113" w:rsidRPr="00094113" w:rsidRDefault="00094113" w:rsidP="00094113">
            <w:pPr>
              <w:pStyle w:val="NormalWeb"/>
              <w:numPr>
                <w:ilvl w:val="0"/>
                <w:numId w:val="46"/>
              </w:numPr>
              <w:rPr>
                <w:rFonts w:ascii="Arial Nova" w:hAnsi="Arial Nova"/>
                <w:color w:val="000000"/>
                <w:shd w:val="clear" w:color="auto" w:fill="FFFFFF"/>
              </w:rPr>
            </w:pPr>
            <w:r w:rsidRPr="00094113">
              <w:rPr>
                <w:rFonts w:ascii="Arial Nova" w:hAnsi="Arial Nova"/>
              </w:rPr>
              <w:t>Undertake any other duties that reasonably fall within the purview of the post which may be allocated after consultation with the postholder</w:t>
            </w:r>
            <w:r>
              <w:rPr>
                <w:rFonts w:ascii="Arial Nova" w:hAnsi="Arial Nova"/>
              </w:rPr>
              <w:t>.</w:t>
            </w:r>
          </w:p>
          <w:p w14:paraId="1FFEEA51" w14:textId="080762D7" w:rsidR="002F52A9" w:rsidRPr="00BD2DA8" w:rsidRDefault="00094113" w:rsidP="00094113">
            <w:pPr>
              <w:pStyle w:val="NormalWeb"/>
              <w:numPr>
                <w:ilvl w:val="0"/>
                <w:numId w:val="46"/>
              </w:numPr>
              <w:rPr>
                <w:rStyle w:val="normaltextrun"/>
                <w:rFonts w:ascii="Arial Nova" w:hAnsi="Arial Nova"/>
                <w:color w:val="000000"/>
                <w:shd w:val="clear" w:color="auto" w:fill="FFFFFF"/>
              </w:rPr>
            </w:pPr>
            <w:r w:rsidRPr="00094113">
              <w:rPr>
                <w:rFonts w:ascii="Arial Nova" w:hAnsi="Arial Nova"/>
              </w:rPr>
              <w:t>Participate in consultation where changes to the job description or person specification are required to reflect changes in the demands of the post.</w:t>
            </w:r>
            <w:r w:rsidRPr="00094113">
              <w:rPr>
                <w:rFonts w:ascii="Arial Nova" w:hAnsi="Arial Nova"/>
              </w:rPr>
              <w:t xml:space="preserve"> </w:t>
            </w:r>
          </w:p>
        </w:tc>
      </w:tr>
      <w:tr w:rsidR="002F52A9" w:rsidRPr="00BD2DA8" w14:paraId="720FEBF1" w14:textId="77777777" w:rsidTr="00D23265">
        <w:trPr>
          <w:trHeight w:val="547"/>
        </w:trPr>
        <w:tc>
          <w:tcPr>
            <w:tcW w:w="3256" w:type="dxa"/>
            <w:shd w:val="clear" w:color="auto" w:fill="BDD6EE" w:themeFill="accent1" w:themeFillTint="66"/>
            <w:vAlign w:val="center"/>
          </w:tcPr>
          <w:p w14:paraId="34058A8D" w14:textId="77777777" w:rsidR="002F52A9" w:rsidRPr="00BD2DA8" w:rsidRDefault="002F52A9" w:rsidP="002F52A9">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2F52A9" w:rsidRPr="00BD2DA8" w:rsidRDefault="002F52A9" w:rsidP="002F52A9">
            <w:pPr>
              <w:tabs>
                <w:tab w:val="left" w:pos="2925"/>
              </w:tabs>
              <w:rPr>
                <w:rFonts w:ascii="Arial Nova" w:hAnsi="Arial Nova" w:cs="Arial"/>
                <w:b/>
                <w:sz w:val="24"/>
                <w:szCs w:val="24"/>
              </w:rPr>
            </w:pPr>
          </w:p>
        </w:tc>
        <w:tc>
          <w:tcPr>
            <w:tcW w:w="7200" w:type="dxa"/>
            <w:gridSpan w:val="4"/>
          </w:tcPr>
          <w:p w14:paraId="0D8830B6" w14:textId="77777777" w:rsidR="002F52A9" w:rsidRPr="00BD2DA8" w:rsidRDefault="002F52A9" w:rsidP="002F52A9">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2F52A9" w:rsidRPr="00BD2DA8" w:rsidRDefault="002F52A9" w:rsidP="002F52A9">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2D3EEC1" w:rsidR="005C4088" w:rsidRPr="000D2352" w:rsidRDefault="00395665" w:rsidP="0091696F">
            <w:pPr>
              <w:spacing w:after="0" w:line="240" w:lineRule="auto"/>
              <w:ind w:left="113"/>
              <w:textAlignment w:val="baseline"/>
              <w:rPr>
                <w:rFonts w:ascii="Arial Nova" w:eastAsia="Times New Roman" w:hAnsi="Arial Nova" w:cs="Times New Roman"/>
                <w:b/>
                <w:bCs/>
                <w:sz w:val="24"/>
                <w:szCs w:val="24"/>
                <w:lang w:eastAsia="en-GB"/>
              </w:rPr>
            </w:pPr>
            <w:r w:rsidRPr="000D2352">
              <w:rPr>
                <w:rFonts w:ascii="Arial Nova" w:eastAsia="Times New Roman" w:hAnsi="Arial Nova" w:cs="Times New Roman"/>
                <w:b/>
                <w:bCs/>
                <w:sz w:val="24"/>
                <w:szCs w:val="24"/>
                <w:lang w:eastAsia="en-GB"/>
              </w:rPr>
              <w:t>Assistant Phase Leader (non-teaching)</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0D2352" w:rsidRDefault="005C4088" w:rsidP="005C4088">
            <w:pPr>
              <w:spacing w:after="0" w:line="240" w:lineRule="auto"/>
              <w:textAlignment w:val="baseline"/>
              <w:rPr>
                <w:rFonts w:ascii="Arial Nova" w:eastAsia="Times New Roman" w:hAnsi="Arial Nova" w:cs="Times New Roman"/>
                <w:b/>
                <w:bCs/>
                <w:sz w:val="24"/>
                <w:szCs w:val="24"/>
                <w:lang w:eastAsia="en-GB"/>
              </w:rPr>
            </w:pPr>
            <w:r w:rsidRPr="000D2352">
              <w:rPr>
                <w:rFonts w:ascii="Arial Nova" w:eastAsia="Times New Roman" w:hAnsi="Arial Nova" w:cs="Times New Roman"/>
                <w:b/>
                <w:bCs/>
                <w:sz w:val="24"/>
                <w:szCs w:val="24"/>
                <w:lang w:eastAsia="en-GB"/>
              </w:rPr>
              <w:t>School/Department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820E7A4" w:rsidR="005C4088" w:rsidRPr="00BD2DA8" w:rsidRDefault="000D2352"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Heads of Year</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68FD2157" w14:textId="2382B2C2" w:rsidR="00D02D9D" w:rsidRPr="00BD2DA8" w:rsidRDefault="00395665" w:rsidP="00D02D9D">
            <w:pPr>
              <w:spacing w:after="0" w:line="240" w:lineRule="auto"/>
              <w:textAlignment w:val="baseline"/>
              <w:rPr>
                <w:rFonts w:ascii="Arial Nova" w:eastAsia="Times New Roman" w:hAnsi="Arial Nova" w:cs="Times New Roman"/>
                <w:sz w:val="24"/>
                <w:szCs w:val="24"/>
                <w:lang w:eastAsia="en-GB"/>
              </w:rPr>
            </w:pPr>
            <w:r w:rsidRPr="00395665">
              <w:rPr>
                <w:rFonts w:ascii="Arial Nova" w:eastAsia="Times New Roman" w:hAnsi="Arial Nova" w:cs="Times New Roman"/>
                <w:sz w:val="24"/>
                <w:szCs w:val="24"/>
                <w:lang w:eastAsia="en-GB"/>
              </w:rPr>
              <w:t>• NVQ Level 2 or equivalent.</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3CAFC0F1" w:rsidR="00B76593" w:rsidRDefault="00AC70C9" w:rsidP="00D02D9D">
            <w:pPr>
              <w:spacing w:after="0" w:line="240" w:lineRule="auto"/>
              <w:rPr>
                <w:rFonts w:ascii="Arial Nova" w:eastAsia="Times New Roman" w:hAnsi="Arial Nova" w:cs="Times New Roman"/>
                <w:sz w:val="24"/>
                <w:szCs w:val="24"/>
                <w:lang w:eastAsia="en-GB"/>
              </w:rPr>
            </w:pPr>
            <w:r w:rsidRPr="00A513CD">
              <w:rPr>
                <w:rFonts w:ascii="Arial Nova" w:eastAsia="Times New Roman" w:hAnsi="Arial Nova" w:cs="Times New Roman"/>
                <w:b/>
                <w:bCs/>
                <w:sz w:val="24"/>
                <w:szCs w:val="24"/>
                <w:lang w:eastAsia="en-GB"/>
              </w:rPr>
              <w:t>Pastoral and inclusion</w:t>
            </w:r>
            <w:r w:rsidRPr="00AC70C9">
              <w:rPr>
                <w:rFonts w:ascii="Arial Nova" w:eastAsia="Times New Roman" w:hAnsi="Arial Nova" w:cs="Times New Roman"/>
                <w:sz w:val="24"/>
                <w:szCs w:val="24"/>
                <w:lang w:eastAsia="en-GB"/>
              </w:rPr>
              <w:br/>
              <w:t>• Recent experience of working within a pastoral environment.</w:t>
            </w:r>
            <w:r w:rsidRPr="00AC70C9">
              <w:rPr>
                <w:rFonts w:ascii="Arial Nova" w:eastAsia="Times New Roman" w:hAnsi="Arial Nova" w:cs="Times New Roman"/>
                <w:sz w:val="24"/>
                <w:szCs w:val="24"/>
                <w:lang w:eastAsia="en-GB"/>
              </w:rPr>
              <w:br/>
              <w:t xml:space="preserve">• Knowledge of the standards of work expected from students to support consistent expectations across the relevant year </w:t>
            </w:r>
            <w:r w:rsidRPr="00A513CD">
              <w:rPr>
                <w:rFonts w:ascii="Arial Nova" w:eastAsia="Times New Roman" w:hAnsi="Arial Nova" w:cs="Times New Roman"/>
                <w:sz w:val="24"/>
                <w:szCs w:val="24"/>
                <w:lang w:eastAsia="en-GB"/>
              </w:rPr>
              <w:t>groups PLACEHOLDER to support consistency for students.</w:t>
            </w:r>
            <w:r w:rsidRPr="00A513CD">
              <w:rPr>
                <w:rFonts w:ascii="Arial Nova" w:eastAsia="Times New Roman" w:hAnsi="Arial Nova" w:cs="Times New Roman"/>
                <w:sz w:val="24"/>
                <w:szCs w:val="24"/>
                <w:lang w:eastAsia="en-GB"/>
              </w:rPr>
              <w:br/>
            </w:r>
            <w:r w:rsidRPr="00AC70C9">
              <w:rPr>
                <w:rFonts w:ascii="Arial Nova" w:eastAsia="Times New Roman" w:hAnsi="Arial Nova" w:cs="Times New Roman"/>
                <w:sz w:val="24"/>
                <w:szCs w:val="24"/>
                <w:lang w:eastAsia="en-GB"/>
              </w:rPr>
              <w:t>• Ability to understand and respond sensitively to student needs.</w:t>
            </w:r>
            <w:r w:rsidRPr="00AC70C9">
              <w:rPr>
                <w:rFonts w:ascii="Arial Nova" w:eastAsia="Times New Roman" w:hAnsi="Arial Nova" w:cs="Times New Roman"/>
                <w:sz w:val="24"/>
                <w:szCs w:val="24"/>
                <w:lang w:eastAsia="en-GB"/>
              </w:rPr>
              <w:br/>
              <w:t>• Caring and positive approach when working with students.</w:t>
            </w:r>
          </w:p>
          <w:p w14:paraId="23153B7F" w14:textId="77777777" w:rsidR="00AC70C9" w:rsidRDefault="00AC70C9" w:rsidP="00D02D9D">
            <w:pPr>
              <w:spacing w:after="0" w:line="240" w:lineRule="auto"/>
              <w:rPr>
                <w:rFonts w:ascii="Arial Nova" w:eastAsia="Times New Roman" w:hAnsi="Arial Nova" w:cs="Times New Roman"/>
                <w:sz w:val="24"/>
                <w:szCs w:val="24"/>
                <w:lang w:eastAsia="en-GB"/>
              </w:rPr>
            </w:pPr>
          </w:p>
          <w:p w14:paraId="687C7CA5" w14:textId="32E88BD9" w:rsidR="00AC70C9" w:rsidRPr="00BD2DA8" w:rsidRDefault="00AC70C9" w:rsidP="00D02D9D">
            <w:pPr>
              <w:spacing w:after="0" w:line="240" w:lineRule="auto"/>
              <w:rPr>
                <w:rFonts w:ascii="Arial Nova" w:eastAsia="Times New Roman" w:hAnsi="Arial Nova" w:cs="Times New Roman"/>
                <w:sz w:val="24"/>
                <w:szCs w:val="24"/>
                <w:lang w:eastAsia="en-GB"/>
              </w:rPr>
            </w:pPr>
            <w:r w:rsidRPr="00A513CD">
              <w:rPr>
                <w:rFonts w:ascii="Arial Nova" w:eastAsia="Times New Roman" w:hAnsi="Arial Nova" w:cs="Times New Roman"/>
                <w:b/>
                <w:bCs/>
                <w:sz w:val="24"/>
                <w:szCs w:val="24"/>
                <w:lang w:eastAsia="en-GB"/>
              </w:rPr>
              <w:t>Behaviour management</w:t>
            </w:r>
            <w:r w:rsidRPr="00AC70C9">
              <w:rPr>
                <w:rFonts w:ascii="Arial Nova" w:eastAsia="Times New Roman" w:hAnsi="Arial Nova" w:cs="Times New Roman"/>
                <w:sz w:val="24"/>
                <w:szCs w:val="24"/>
                <w:lang w:eastAsia="en-GB"/>
              </w:rPr>
              <w:br/>
              <w:t>• Ability to support positive behaviour management.</w:t>
            </w:r>
            <w:r w:rsidRPr="00AC70C9">
              <w:rPr>
                <w:rFonts w:ascii="Arial Nova" w:eastAsia="Times New Roman" w:hAnsi="Arial Nova" w:cs="Times New Roman"/>
                <w:sz w:val="24"/>
                <w:szCs w:val="24"/>
                <w:lang w:eastAsia="en-GB"/>
              </w:rPr>
              <w:br/>
              <w:t>• Ability to remain calm under pressure and adapt approach where needed.</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034C5F83" w:rsidR="00D02D9D" w:rsidRPr="00BD2DA8" w:rsidRDefault="00AC70C9" w:rsidP="00D02D9D">
            <w:pPr>
              <w:spacing w:after="0" w:line="240" w:lineRule="auto"/>
              <w:rPr>
                <w:rFonts w:ascii="Arial Nova" w:eastAsia="Times New Roman" w:hAnsi="Arial Nova" w:cs="Times New Roman"/>
                <w:sz w:val="24"/>
                <w:szCs w:val="24"/>
                <w:lang w:eastAsia="en-GB"/>
              </w:rPr>
            </w:pPr>
            <w:r w:rsidRPr="00A513CD">
              <w:rPr>
                <w:rFonts w:ascii="Arial Nova" w:eastAsia="Times New Roman" w:hAnsi="Arial Nova" w:cs="Times New Roman"/>
                <w:b/>
                <w:bCs/>
                <w:sz w:val="24"/>
                <w:szCs w:val="24"/>
                <w:lang w:eastAsia="en-GB"/>
              </w:rPr>
              <w:t>Communication</w:t>
            </w:r>
            <w:r w:rsidRPr="00AC70C9">
              <w:rPr>
                <w:rFonts w:ascii="Arial Nova" w:eastAsia="Times New Roman" w:hAnsi="Arial Nova" w:cs="Times New Roman"/>
                <w:sz w:val="24"/>
                <w:szCs w:val="24"/>
                <w:lang w:eastAsia="en-GB"/>
              </w:rPr>
              <w:br/>
              <w:t>• Clear communication and interpersonal skills.</w:t>
            </w:r>
            <w:r w:rsidRPr="00AC70C9">
              <w:rPr>
                <w:rFonts w:ascii="Arial Nova" w:eastAsia="Times New Roman" w:hAnsi="Arial Nova" w:cs="Times New Roman"/>
                <w:sz w:val="24"/>
                <w:szCs w:val="24"/>
                <w:lang w:eastAsia="en-GB"/>
              </w:rPr>
              <w:br/>
              <w:t xml:space="preserve">• Ability to </w:t>
            </w:r>
            <w:proofErr w:type="gramStart"/>
            <w:r w:rsidRPr="00AC70C9">
              <w:rPr>
                <w:rFonts w:ascii="Arial Nova" w:eastAsia="Times New Roman" w:hAnsi="Arial Nova" w:cs="Times New Roman"/>
                <w:sz w:val="24"/>
                <w:szCs w:val="24"/>
                <w:lang w:eastAsia="en-GB"/>
              </w:rPr>
              <w:t>maintain confidentiality at all times</w:t>
            </w:r>
            <w:proofErr w:type="gramEnd"/>
            <w:r w:rsidRPr="00AC70C9">
              <w:rPr>
                <w:rFonts w:ascii="Arial Nova" w:eastAsia="Times New Roman" w:hAnsi="Arial Nova" w:cs="Times New Roman"/>
                <w:sz w:val="24"/>
                <w:szCs w:val="24"/>
                <w:lang w:eastAsia="en-GB"/>
              </w:rPr>
              <w:t>.</w:t>
            </w:r>
            <w:r w:rsidRPr="00AC70C9">
              <w:rPr>
                <w:rFonts w:ascii="Arial Nova" w:eastAsia="Times New Roman" w:hAnsi="Arial Nova" w:cs="Times New Roman"/>
                <w:sz w:val="24"/>
                <w:szCs w:val="24"/>
                <w:lang w:eastAsia="en-GB"/>
              </w:rPr>
              <w:br/>
              <w:t>• Ability to work as part of a team and independently.</w:t>
            </w:r>
            <w:r w:rsidRPr="00AC70C9">
              <w:rPr>
                <w:rFonts w:ascii="Arial Nova" w:eastAsia="Times New Roman" w:hAnsi="Arial Nova" w:cs="Times New Roman"/>
                <w:sz w:val="24"/>
                <w:szCs w:val="24"/>
                <w:lang w:eastAsia="en-GB"/>
              </w:rPr>
              <w:br/>
              <w:t>• Ability to use own initiative responsibly.</w:t>
            </w:r>
          </w:p>
          <w:p w14:paraId="4C0ECEB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90F29F1" w14:textId="6D4387BE" w:rsidR="00D02D9D" w:rsidRPr="00BD2DA8" w:rsidRDefault="00AC70C9" w:rsidP="00D02D9D">
            <w:pPr>
              <w:spacing w:after="0" w:line="240" w:lineRule="auto"/>
              <w:rPr>
                <w:rFonts w:ascii="Arial Nova" w:eastAsia="Times New Roman" w:hAnsi="Arial Nova" w:cs="Times New Roman"/>
                <w:sz w:val="24"/>
                <w:szCs w:val="24"/>
                <w:lang w:eastAsia="en-GB"/>
              </w:rPr>
            </w:pPr>
            <w:r w:rsidRPr="00A513CD">
              <w:rPr>
                <w:rFonts w:ascii="Arial Nova" w:eastAsia="Times New Roman" w:hAnsi="Arial Nova" w:cs="Times New Roman"/>
                <w:b/>
                <w:bCs/>
                <w:sz w:val="24"/>
                <w:szCs w:val="24"/>
                <w:lang w:eastAsia="en-GB"/>
              </w:rPr>
              <w:t>Technical skills</w:t>
            </w:r>
            <w:r w:rsidRPr="00AC70C9">
              <w:rPr>
                <w:rFonts w:ascii="Arial Nova" w:eastAsia="Times New Roman" w:hAnsi="Arial Nova" w:cs="Times New Roman"/>
                <w:sz w:val="24"/>
                <w:szCs w:val="24"/>
                <w:lang w:eastAsia="en-GB"/>
              </w:rPr>
              <w:br/>
              <w:t>• Ability to use ICT effectively to support learning.</w:t>
            </w:r>
          </w:p>
          <w:p w14:paraId="54238C5D"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116E109D" w14:textId="1AEC8320" w:rsidR="00D02D9D" w:rsidRPr="00BD2DA8" w:rsidRDefault="00AC70C9" w:rsidP="00D02D9D">
            <w:pPr>
              <w:spacing w:after="0" w:line="240" w:lineRule="auto"/>
              <w:rPr>
                <w:rFonts w:ascii="Arial Nova" w:eastAsia="Times New Roman" w:hAnsi="Arial Nova" w:cs="Times New Roman"/>
                <w:sz w:val="24"/>
                <w:szCs w:val="24"/>
                <w:lang w:eastAsia="en-GB"/>
              </w:rPr>
            </w:pPr>
            <w:r w:rsidRPr="00A513CD">
              <w:rPr>
                <w:rFonts w:ascii="Arial Nova" w:eastAsia="Times New Roman" w:hAnsi="Arial Nova" w:cs="Times New Roman"/>
                <w:b/>
                <w:bCs/>
                <w:sz w:val="24"/>
                <w:szCs w:val="24"/>
                <w:lang w:eastAsia="en-GB"/>
              </w:rPr>
              <w:lastRenderedPageBreak/>
              <w:t>Personal qualities</w:t>
            </w:r>
            <w:r w:rsidRPr="00AC70C9">
              <w:rPr>
                <w:rFonts w:ascii="Arial Nova" w:eastAsia="Times New Roman" w:hAnsi="Arial Nova" w:cs="Times New Roman"/>
                <w:sz w:val="24"/>
                <w:szCs w:val="24"/>
                <w:lang w:eastAsia="en-GB"/>
              </w:rPr>
              <w:br/>
              <w:t>• Sense of responsibility.</w:t>
            </w:r>
            <w:r w:rsidRPr="00AC70C9">
              <w:rPr>
                <w:rFonts w:ascii="Arial Nova" w:eastAsia="Times New Roman" w:hAnsi="Arial Nova" w:cs="Times New Roman"/>
                <w:sz w:val="24"/>
                <w:szCs w:val="24"/>
                <w:lang w:eastAsia="en-GB"/>
              </w:rPr>
              <w:br/>
              <w:t>• Good sense of humour.</w:t>
            </w:r>
            <w:r w:rsidRPr="00AC70C9">
              <w:rPr>
                <w:rFonts w:ascii="Arial Nova" w:eastAsia="Times New Roman" w:hAnsi="Arial Nova" w:cs="Times New Roman"/>
                <w:sz w:val="24"/>
                <w:szCs w:val="24"/>
                <w:lang w:eastAsia="en-GB"/>
              </w:rPr>
              <w:br/>
              <w:t>• Adaptable, energetic and flexible approach.</w:t>
            </w:r>
            <w:r w:rsidRPr="00AC70C9">
              <w:rPr>
                <w:rFonts w:ascii="Arial Nova" w:eastAsia="Times New Roman" w:hAnsi="Arial Nova" w:cs="Times New Roman"/>
                <w:sz w:val="24"/>
                <w:szCs w:val="24"/>
                <w:lang w:eastAsia="en-GB"/>
              </w:rPr>
              <w:br/>
              <w:t>• Commitment to ongoing service and personal development through self-evaluation and learning from others.</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5BA2B621" w:rsidR="005C4088" w:rsidRPr="00BD2DA8" w:rsidRDefault="00A513CD" w:rsidP="00A513CD">
            <w:pPr>
              <w:spacing w:after="0" w:line="240" w:lineRule="auto"/>
              <w:rPr>
                <w:rFonts w:ascii="Arial Nova" w:eastAsia="Times New Roman" w:hAnsi="Arial Nova" w:cs="Times New Roman"/>
                <w:sz w:val="24"/>
                <w:szCs w:val="24"/>
                <w:lang w:eastAsia="en-GB"/>
              </w:rPr>
            </w:pPr>
            <w:r w:rsidRPr="00A513CD">
              <w:rPr>
                <w:rFonts w:ascii="Arial Nova" w:hAnsi="Arial Nova" w:cs="Arial"/>
                <w:sz w:val="24"/>
                <w:szCs w:val="24"/>
              </w:rPr>
              <w:t>• All staff and volunteers are expected to be committed to safeguarding, equality and promoting the welfare of children and young people.</w:t>
            </w:r>
            <w:r w:rsidRPr="00A513CD">
              <w:rPr>
                <w:rFonts w:ascii="Arial Nova" w:hAnsi="Arial Nova" w:cs="Arial"/>
                <w:sz w:val="24"/>
                <w:szCs w:val="24"/>
              </w:rPr>
              <w:br/>
              <w:t>• To ensure awareness of local safeguarding policies and procedures and to report any concerns or information received as required.</w:t>
            </w:r>
            <w:r w:rsidRPr="00A513CD">
              <w:rPr>
                <w:rFonts w:ascii="Arial Nova" w:hAnsi="Arial Nova" w:cs="Arial"/>
                <w:sz w:val="24"/>
                <w:szCs w:val="24"/>
              </w:rPr>
              <w:br/>
              <w:t>• Suitability to work with children.</w:t>
            </w:r>
            <w:r w:rsidRPr="00A513CD">
              <w:rPr>
                <w:rFonts w:ascii="Arial Nova" w:hAnsi="Arial Nova" w:cs="Arial"/>
                <w:sz w:val="24"/>
                <w:szCs w:val="24"/>
              </w:rPr>
              <w:br/>
              <w:t>• Enhanced DBS clearance is required.</w:t>
            </w:r>
            <w:r w:rsidRPr="00A513CD">
              <w:rPr>
                <w:rFonts w:ascii="Arial Nova" w:hAnsi="Arial Nova" w:cs="Arial"/>
                <w:sz w:val="24"/>
                <w:szCs w:val="24"/>
              </w:rPr>
              <w:t xml:space="preserve"> </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668E" w14:textId="77777777" w:rsidR="00C6603D" w:rsidRDefault="00C6603D" w:rsidP="00A959FF">
      <w:pPr>
        <w:spacing w:after="0" w:line="240" w:lineRule="auto"/>
      </w:pPr>
      <w:r>
        <w:separator/>
      </w:r>
    </w:p>
  </w:endnote>
  <w:endnote w:type="continuationSeparator" w:id="0">
    <w:p w14:paraId="34649050" w14:textId="77777777" w:rsidR="00C6603D" w:rsidRDefault="00C6603D"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8E77" w14:textId="77777777" w:rsidR="00C6603D" w:rsidRDefault="00C6603D" w:rsidP="00A959FF">
      <w:pPr>
        <w:spacing w:after="0" w:line="240" w:lineRule="auto"/>
      </w:pPr>
      <w:r>
        <w:separator/>
      </w:r>
    </w:p>
  </w:footnote>
  <w:footnote w:type="continuationSeparator" w:id="0">
    <w:p w14:paraId="51CA7E64" w14:textId="77777777" w:rsidR="00C6603D" w:rsidRDefault="00C6603D"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4912216"/>
    <w:multiLevelType w:val="hybridMultilevel"/>
    <w:tmpl w:val="B780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53F39"/>
    <w:multiLevelType w:val="hybridMultilevel"/>
    <w:tmpl w:val="7C3A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F2F74"/>
    <w:multiLevelType w:val="hybridMultilevel"/>
    <w:tmpl w:val="5444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F4DC2"/>
    <w:multiLevelType w:val="hybridMultilevel"/>
    <w:tmpl w:val="0E7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42AB5665"/>
    <w:multiLevelType w:val="hybridMultilevel"/>
    <w:tmpl w:val="462A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B4072"/>
    <w:multiLevelType w:val="hybridMultilevel"/>
    <w:tmpl w:val="282C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0"/>
  </w:num>
  <w:num w:numId="3" w16cid:durableId="983893118">
    <w:abstractNumId w:val="43"/>
  </w:num>
  <w:num w:numId="4" w16cid:durableId="197857996">
    <w:abstractNumId w:val="32"/>
  </w:num>
  <w:num w:numId="5" w16cid:durableId="248002154">
    <w:abstractNumId w:val="28"/>
  </w:num>
  <w:num w:numId="6" w16cid:durableId="2033993702">
    <w:abstractNumId w:val="45"/>
  </w:num>
  <w:num w:numId="7" w16cid:durableId="1221018604">
    <w:abstractNumId w:val="41"/>
  </w:num>
  <w:num w:numId="8" w16cid:durableId="1530485560">
    <w:abstractNumId w:val="26"/>
  </w:num>
  <w:num w:numId="9" w16cid:durableId="2056807079">
    <w:abstractNumId w:val="38"/>
  </w:num>
  <w:num w:numId="10" w16cid:durableId="774596279">
    <w:abstractNumId w:val="21"/>
  </w:num>
  <w:num w:numId="11" w16cid:durableId="666322121">
    <w:abstractNumId w:val="15"/>
  </w:num>
  <w:num w:numId="12" w16cid:durableId="1920092572">
    <w:abstractNumId w:val="5"/>
  </w:num>
  <w:num w:numId="13" w16cid:durableId="2056192276">
    <w:abstractNumId w:val="8"/>
  </w:num>
  <w:num w:numId="14" w16cid:durableId="1224564770">
    <w:abstractNumId w:val="25"/>
  </w:num>
  <w:num w:numId="15" w16cid:durableId="1362897359">
    <w:abstractNumId w:val="16"/>
  </w:num>
  <w:num w:numId="16" w16cid:durableId="789783363">
    <w:abstractNumId w:val="18"/>
  </w:num>
  <w:num w:numId="17" w16cid:durableId="888110809">
    <w:abstractNumId w:val="12"/>
  </w:num>
  <w:num w:numId="18" w16cid:durableId="1607231579">
    <w:abstractNumId w:val="42"/>
  </w:num>
  <w:num w:numId="19" w16cid:durableId="504631093">
    <w:abstractNumId w:val="17"/>
  </w:num>
  <w:num w:numId="20" w16cid:durableId="1066075454">
    <w:abstractNumId w:val="23"/>
  </w:num>
  <w:num w:numId="21" w16cid:durableId="570972081">
    <w:abstractNumId w:val="36"/>
  </w:num>
  <w:num w:numId="22" w16cid:durableId="1433862444">
    <w:abstractNumId w:val="9"/>
  </w:num>
  <w:num w:numId="23" w16cid:durableId="803817096">
    <w:abstractNumId w:val="3"/>
  </w:num>
  <w:num w:numId="24" w16cid:durableId="874929388">
    <w:abstractNumId w:val="2"/>
  </w:num>
  <w:num w:numId="25" w16cid:durableId="1897080185">
    <w:abstractNumId w:val="24"/>
  </w:num>
  <w:num w:numId="26" w16cid:durableId="1701314690">
    <w:abstractNumId w:val="19"/>
  </w:num>
  <w:num w:numId="27" w16cid:durableId="300577845">
    <w:abstractNumId w:val="29"/>
  </w:num>
  <w:num w:numId="28" w16cid:durableId="1737703331">
    <w:abstractNumId w:val="0"/>
  </w:num>
  <w:num w:numId="29" w16cid:durableId="33822053">
    <w:abstractNumId w:val="40"/>
  </w:num>
  <w:num w:numId="30" w16cid:durableId="532305913">
    <w:abstractNumId w:val="1"/>
  </w:num>
  <w:num w:numId="31" w16cid:durableId="2030787940">
    <w:abstractNumId w:val="7"/>
  </w:num>
  <w:num w:numId="32" w16cid:durableId="1519347485">
    <w:abstractNumId w:val="27"/>
  </w:num>
  <w:num w:numId="33" w16cid:durableId="210456713">
    <w:abstractNumId w:val="34"/>
  </w:num>
  <w:num w:numId="34" w16cid:durableId="289408840">
    <w:abstractNumId w:val="4"/>
  </w:num>
  <w:num w:numId="35" w16cid:durableId="793983550">
    <w:abstractNumId w:val="14"/>
  </w:num>
  <w:num w:numId="36" w16cid:durableId="2118060297">
    <w:abstractNumId w:val="35"/>
  </w:num>
  <w:num w:numId="37" w16cid:durableId="1550874575">
    <w:abstractNumId w:val="31"/>
  </w:num>
  <w:num w:numId="38" w16cid:durableId="339357212">
    <w:abstractNumId w:val="44"/>
  </w:num>
  <w:num w:numId="39" w16cid:durableId="222300130">
    <w:abstractNumId w:val="39"/>
  </w:num>
  <w:num w:numId="40" w16cid:durableId="365721410">
    <w:abstractNumId w:val="37"/>
  </w:num>
  <w:num w:numId="41" w16cid:durableId="1262378307">
    <w:abstractNumId w:val="20"/>
  </w:num>
  <w:num w:numId="42" w16cid:durableId="505101290">
    <w:abstractNumId w:val="22"/>
  </w:num>
  <w:num w:numId="43" w16cid:durableId="1741559969">
    <w:abstractNumId w:val="10"/>
  </w:num>
  <w:num w:numId="44" w16cid:durableId="815537103">
    <w:abstractNumId w:val="11"/>
  </w:num>
  <w:num w:numId="45" w16cid:durableId="693464411">
    <w:abstractNumId w:val="13"/>
  </w:num>
  <w:num w:numId="46" w16cid:durableId="12150710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4F93"/>
    <w:rsid w:val="00024BC6"/>
    <w:rsid w:val="00033452"/>
    <w:rsid w:val="000443F5"/>
    <w:rsid w:val="0005074A"/>
    <w:rsid w:val="0005700A"/>
    <w:rsid w:val="000622F0"/>
    <w:rsid w:val="000748C4"/>
    <w:rsid w:val="00074ED5"/>
    <w:rsid w:val="00081612"/>
    <w:rsid w:val="0008200A"/>
    <w:rsid w:val="00093FE9"/>
    <w:rsid w:val="00094113"/>
    <w:rsid w:val="000A4BB6"/>
    <w:rsid w:val="000A503A"/>
    <w:rsid w:val="000D2352"/>
    <w:rsid w:val="000E3E39"/>
    <w:rsid w:val="000F69C2"/>
    <w:rsid w:val="00101697"/>
    <w:rsid w:val="00101B49"/>
    <w:rsid w:val="00106A64"/>
    <w:rsid w:val="00122386"/>
    <w:rsid w:val="001473CD"/>
    <w:rsid w:val="0015179F"/>
    <w:rsid w:val="0017604F"/>
    <w:rsid w:val="00177518"/>
    <w:rsid w:val="00192C51"/>
    <w:rsid w:val="001A69D5"/>
    <w:rsid w:val="001B69C7"/>
    <w:rsid w:val="001D0FE1"/>
    <w:rsid w:val="001F2EF5"/>
    <w:rsid w:val="0020563F"/>
    <w:rsid w:val="00214D22"/>
    <w:rsid w:val="00223836"/>
    <w:rsid w:val="0023609B"/>
    <w:rsid w:val="0024254B"/>
    <w:rsid w:val="00243972"/>
    <w:rsid w:val="00246381"/>
    <w:rsid w:val="00254028"/>
    <w:rsid w:val="0027679A"/>
    <w:rsid w:val="00281C49"/>
    <w:rsid w:val="002862E4"/>
    <w:rsid w:val="00286F06"/>
    <w:rsid w:val="002A61A2"/>
    <w:rsid w:val="002B62B5"/>
    <w:rsid w:val="002B653B"/>
    <w:rsid w:val="002C10B8"/>
    <w:rsid w:val="002C7A26"/>
    <w:rsid w:val="002D78F8"/>
    <w:rsid w:val="002F52A9"/>
    <w:rsid w:val="002F74C6"/>
    <w:rsid w:val="00300413"/>
    <w:rsid w:val="003127ED"/>
    <w:rsid w:val="003164C9"/>
    <w:rsid w:val="00321716"/>
    <w:rsid w:val="0033242D"/>
    <w:rsid w:val="003450FB"/>
    <w:rsid w:val="00351822"/>
    <w:rsid w:val="00357516"/>
    <w:rsid w:val="003714A8"/>
    <w:rsid w:val="003715AE"/>
    <w:rsid w:val="003734E3"/>
    <w:rsid w:val="00374B53"/>
    <w:rsid w:val="00385AEA"/>
    <w:rsid w:val="00393B1C"/>
    <w:rsid w:val="00395665"/>
    <w:rsid w:val="003976BC"/>
    <w:rsid w:val="003A22F1"/>
    <w:rsid w:val="003B2036"/>
    <w:rsid w:val="003B41C1"/>
    <w:rsid w:val="003B7986"/>
    <w:rsid w:val="003C4C9B"/>
    <w:rsid w:val="003C4F91"/>
    <w:rsid w:val="003D4290"/>
    <w:rsid w:val="003E3D84"/>
    <w:rsid w:val="003E4554"/>
    <w:rsid w:val="003F60D2"/>
    <w:rsid w:val="00401F39"/>
    <w:rsid w:val="004364AE"/>
    <w:rsid w:val="00445189"/>
    <w:rsid w:val="00475434"/>
    <w:rsid w:val="00494F90"/>
    <w:rsid w:val="00497BEF"/>
    <w:rsid w:val="004A1E91"/>
    <w:rsid w:val="004B1ED7"/>
    <w:rsid w:val="004B449E"/>
    <w:rsid w:val="004C3951"/>
    <w:rsid w:val="004D586B"/>
    <w:rsid w:val="004F1225"/>
    <w:rsid w:val="00503812"/>
    <w:rsid w:val="005115BB"/>
    <w:rsid w:val="005132F8"/>
    <w:rsid w:val="005239CB"/>
    <w:rsid w:val="0053300B"/>
    <w:rsid w:val="00541467"/>
    <w:rsid w:val="00543BD4"/>
    <w:rsid w:val="005625D1"/>
    <w:rsid w:val="0058643D"/>
    <w:rsid w:val="005A4ACE"/>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11E3E"/>
    <w:rsid w:val="007125A9"/>
    <w:rsid w:val="007432B2"/>
    <w:rsid w:val="007433B4"/>
    <w:rsid w:val="007565AF"/>
    <w:rsid w:val="0076362F"/>
    <w:rsid w:val="00772E94"/>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72FFC"/>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92C95"/>
    <w:rsid w:val="009B54E1"/>
    <w:rsid w:val="009C0F19"/>
    <w:rsid w:val="009E6F44"/>
    <w:rsid w:val="009F56DA"/>
    <w:rsid w:val="009F5BF8"/>
    <w:rsid w:val="00A16CC2"/>
    <w:rsid w:val="00A16EBD"/>
    <w:rsid w:val="00A227A3"/>
    <w:rsid w:val="00A4053A"/>
    <w:rsid w:val="00A423F4"/>
    <w:rsid w:val="00A4243E"/>
    <w:rsid w:val="00A441A4"/>
    <w:rsid w:val="00A513CD"/>
    <w:rsid w:val="00A560EE"/>
    <w:rsid w:val="00A572D6"/>
    <w:rsid w:val="00A63EE1"/>
    <w:rsid w:val="00A744A0"/>
    <w:rsid w:val="00A75EFC"/>
    <w:rsid w:val="00A959FF"/>
    <w:rsid w:val="00AA29D6"/>
    <w:rsid w:val="00AB086E"/>
    <w:rsid w:val="00AC70C9"/>
    <w:rsid w:val="00AE01D7"/>
    <w:rsid w:val="00AF0D93"/>
    <w:rsid w:val="00B03EFE"/>
    <w:rsid w:val="00B074E6"/>
    <w:rsid w:val="00B13BFA"/>
    <w:rsid w:val="00B356FB"/>
    <w:rsid w:val="00B41B02"/>
    <w:rsid w:val="00B72F8B"/>
    <w:rsid w:val="00B76593"/>
    <w:rsid w:val="00B94481"/>
    <w:rsid w:val="00BD17EE"/>
    <w:rsid w:val="00BD2DA8"/>
    <w:rsid w:val="00BD370E"/>
    <w:rsid w:val="00BD49AD"/>
    <w:rsid w:val="00BE47F4"/>
    <w:rsid w:val="00C00048"/>
    <w:rsid w:val="00C02FED"/>
    <w:rsid w:val="00C23462"/>
    <w:rsid w:val="00C440B5"/>
    <w:rsid w:val="00C511E5"/>
    <w:rsid w:val="00C54298"/>
    <w:rsid w:val="00C61027"/>
    <w:rsid w:val="00C6603D"/>
    <w:rsid w:val="00CC05A7"/>
    <w:rsid w:val="00CC227D"/>
    <w:rsid w:val="00CD499F"/>
    <w:rsid w:val="00D02D9D"/>
    <w:rsid w:val="00D10319"/>
    <w:rsid w:val="00D153D3"/>
    <w:rsid w:val="00D16022"/>
    <w:rsid w:val="00D23265"/>
    <w:rsid w:val="00D46099"/>
    <w:rsid w:val="00D46557"/>
    <w:rsid w:val="00D46EEF"/>
    <w:rsid w:val="00D51639"/>
    <w:rsid w:val="00D83887"/>
    <w:rsid w:val="00D91088"/>
    <w:rsid w:val="00D914EB"/>
    <w:rsid w:val="00D96F3F"/>
    <w:rsid w:val="00DA5DDA"/>
    <w:rsid w:val="00DC3BC3"/>
    <w:rsid w:val="00DE2653"/>
    <w:rsid w:val="00DE5532"/>
    <w:rsid w:val="00DF20FB"/>
    <w:rsid w:val="00DF5B7D"/>
    <w:rsid w:val="00E00169"/>
    <w:rsid w:val="00E00AF5"/>
    <w:rsid w:val="00E117F4"/>
    <w:rsid w:val="00E11801"/>
    <w:rsid w:val="00E12AB4"/>
    <w:rsid w:val="00E13F4A"/>
    <w:rsid w:val="00E212A5"/>
    <w:rsid w:val="00E34353"/>
    <w:rsid w:val="00E3679E"/>
    <w:rsid w:val="00E47F0D"/>
    <w:rsid w:val="00E53EAF"/>
    <w:rsid w:val="00E65DCD"/>
    <w:rsid w:val="00E808AB"/>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E35B4"/>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DF2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2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2026-05-21T13:03:00Z</dcterms:created>
  <dcterms:modified xsi:type="dcterms:W3CDTF">2026-05-21T13:04:00Z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