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237"/>
        <w:tblGridChange w:id="0">
          <w:tblGrid>
            <w:gridCol w:w="2972"/>
            <w:gridCol w:w="6237"/>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Designated Safeguarding Lead (Non-Teaching)</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9</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as part of the Academy Leadership Team takes the lead responsibility for all safeguarding and child protection matters arising at the academy whilst also supporting all other staff in dealing with any child protection concerns.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act as the Designated Safeguarding Lead (DSL) and manage the provision of safeguarding at the academy.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and regularly review the implementation of trust and academy Safeguarding and Child Protection Policy and procedures.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review the academy’s approach to Safeguarding and advise on appropriate, effective and efficient improvements to working practice.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monitor and assess the impact of safeguarding and communicate those risks to the Principal.</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best practice by promoting and championing the Safeguarding and Child Protection Policy and procedures.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 appropriately to disclosures or concerns which relate to the well-being of a student.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advice, support and guidance where staff report a concern as required.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collate and produce reports and statistical information with regards to safeguarding and student groups, providing a narrative and making recommendations to the Academy Leadership Team and Local Governing Body.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plan, deliver and record safeguarding training within the academy.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maintain appropriate levels of confidentiality.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feedback to and attend Academy Leadership Team meetings.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Proactively build and sustain excellent relationships with internal partners and stakeholders, to ensure safeguarding is integrated and actively managed into processes and systems.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 on organisation preparation and responses to external requests for information on safeguarding (e.g. FOIs, SAR and media requests).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development of safeguarding policies in collaboration with the Trust Safeguarding Manager.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oversee the mental health provision including counselling provision and the use of external mental health providers.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that there are robust risk management plans in place as required.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with curriculum development in respect to safeguarding, e.g. online safety, sex education, relationships, prevent.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Planning and delivering an assembly programme in respect of safeguarding.</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and filter online activity of students utilising academy devices and identify trends and follow up accordingly.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Responsibility for safeguarding of students accessing alternative provision.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undertake line manage responsibilities as required.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MANAGING REFERRALS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take lead responsibility for: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social care and other external agencies as required.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Referring all cases of suspected abuse of any student at the academy to children’s social care and other external agencies as required.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staff who make referrals to the local authority children’s social care.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Referring to the Local Authority Designated Officer (LADO) team all child protection concerns, which involve a member of staff as directed by the Principal or Chair of the Local Governing Body.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liaise with the case manager and the designated officer at the local authority for child protection concerns (all cases which concern a staff member).</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part in strategy discussions and inter-agency meetings and/or to supporting other staff to do so and to contribute to the assessment of children.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Referring cases to the Channel programme (and supporting staff who make referrals) where there is a radicalisation concern.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referrals to the Disclosure and Barring Service where a member of staff is dismissed or resigns in circumstances where there has been actual harm, or risk of harm, to a child.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referrals to the police where a crime may have been committed which involves a child.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all referrals are stored appropriately and securely.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receive information from external agencies and update the academy's data where necessary.</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act as a source of support, advice and expertise to staff on matters of safety and safeguarding and when deciding whether to make a referral by liaising with the relevant agencies.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plan and co-ordinate the early identification of vulnerable children and families.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RAISING AWARENESS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2"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2"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academy’s Safeguarding and Child Protection Policy annex is reviewed and updated annually and liaise with the Local Governing Body as appropriate.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Safeguarding and Child Protection Policy and annex is available publicly.</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parents are aware that referrals about suspected abuse or neglect may be made to children’s social care and the academy’s role in this.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children leave the academy, ensure their child protection file is transferred to the new school or college as soon as possible. This should be transferred separately from the main pupil file. The DSL is responsible for ensuring that reasonable steps are taken to effect secure transit and for obtaining confirmation of receipt from the new school or college.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PREVENTING RADICALISATION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0"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0"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accordance with the Prevent Duty Guidance, the DSL has the following responsibilities: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Acting as the first point of contact for parents, pupils, teaching and support staff and external agencies in all matters relating to the Prevent Duty.</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Co-ordinating Prevent Duty procedures in the academy.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Undergoing appropriate training on the Prevent Duty.</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Undergoing appropriate training on the Channel programme.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Assessing the training needs of all academy staff in relation to the Prevent Duty and implementing and maintaining an ongoing training programme for staff including induction training for all newly appointed staff and volunteers.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an ongoing training programme on the Prevent Duty for all staff including induction training for all new employees and keeping records of staff training.</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 the keeping, confidentiality and storage of records in relation to the Prevent Duty.</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Liaising with the local Prevent </w:t>
      </w:r>
      <w:r w:rsidDel="00000000" w:rsidR="00000000" w:rsidRPr="00000000">
        <w:rPr>
          <w:rFonts w:ascii="Arial" w:cs="Arial" w:eastAsia="Arial" w:hAnsi="Arial"/>
          <w:sz w:val="22"/>
          <w:szCs w:val="22"/>
          <w:rtl w:val="0"/>
        </w:rPr>
        <w:t xml:space="preserve">coordinators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police and local authorities and existing multi-agency forums in all necessary or appropriate </w:t>
      </w:r>
      <w:r w:rsidDel="00000000" w:rsidR="00000000" w:rsidRPr="00000000">
        <w:rPr>
          <w:rFonts w:ascii="Arial" w:cs="Arial" w:eastAsia="Arial" w:hAnsi="Arial"/>
          <w:sz w:val="22"/>
          <w:szCs w:val="22"/>
          <w:rtl w:val="0"/>
        </w:rPr>
        <w:t xml:space="preserve">circumstances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relating to the Prevent Duty.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TRAINING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4"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DSL should receive appropriate child protection training every two years (and refresh their knowledge and skills through network meetings, email updates and documents on an ongoing basis) in order to: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assessment process for providing early help and intervention, for example through locally agreed common and shared assessment processes such as early help assessments.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working knowledge of how local authorities conduct a child protection case conference and a child protection review conference and be able to attend and contribute to these effectively when required to do so.</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each member of staff has access to and understands the trust and academy’s Safeguarding and Child Protection Policy and procedures, especially new and part time staff.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alert to the specific needs of children in need, those with special educational needs and young carers.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able to keep detailed, accurate, secure written records of concerns and referrals.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and support the school with regard to the Prevent Duty and provide advice and support to staff on protecting children from the risk of radicalisation.</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access to resources and attend any relevant or refresher training courses.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a culture of listening to children and taking account of their wishes and feelings, amongst all staff, in any measures the academy may put in place to protect them.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WORKING WITH OTHERS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8"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8"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liaise with the “case manager” and the designated officer(s) at the local authority for child protection concerns.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support the Academy Leadership Team in referring all cases which concern a staff member.</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and supervise staff on matters of safety and safeguarding and when deciding whether to make a referral by liaising with relevant agencies. Act as a source of support, advice, expertise for staff and follow up on any concerns with management of casework.</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support to parents/carers of vulnerable student, including making home visits.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 meetings with the Governor with specific responsibility for Safeguarding to ensure that the academy safeguarding responsibilities are discharged and provide regular updates on safeguarding matters.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during student transition that safeguarding and welfare information is transferred and, as appropriate the relevant information is shared with staff and that leavers and joiners are reported to the relevant parties as necessary.</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act as a source of support, advice and expertise for staff and provide advice and support to parents/carers of vulnerable student, including making home visits.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directly with students in need and their families in the community to promote, strengthen and develop the potential of parents/carers and their children to prevent children becoming look after/or suffering significant harm, or to improve attendance.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7"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Trust Safeg</w:t>
      </w:r>
      <w:r w:rsidDel="00000000" w:rsidR="00000000" w:rsidRPr="00000000">
        <w:rPr>
          <w:rFonts w:ascii="Arial" w:cs="Arial" w:eastAsia="Arial" w:hAnsi="Arial"/>
          <w:sz w:val="22"/>
          <w:szCs w:val="22"/>
          <w:rtl w:val="0"/>
        </w:rPr>
        <w:t xml:space="preserve">uarding Manager and colleagues across the Trust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promote the best interests of pupils, including sharing concerns where necessary.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RESPONSIBILITIES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80">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8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9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DESIGNATED SAFEGUARDING LEAD (NON-TEACHING)</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57" w:hRule="atLeast"/>
          <w:tblHeader w:val="0"/>
        </w:trPr>
        <w:tc>
          <w:tcPr>
            <w:shd w:fill="7030a0"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57" w:hRule="atLeast"/>
          <w:tblHeader w:val="0"/>
        </w:trPr>
        <w:tc>
          <w:tcPr/>
          <w:p w:rsidR="00000000" w:rsidDel="00000000" w:rsidP="00000000" w:rsidRDefault="00000000" w:rsidRPr="00000000" w14:paraId="0000009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Degree in an appropriate area or experience in a relevant discipline.</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sz w:val="22"/>
                <w:szCs w:val="22"/>
                <w:rtl w:val="0"/>
              </w:rPr>
              <w:t xml:space="preserve">Qualified DSL.</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9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experience of working with students with emotional issues that are a barrier to learning.</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pupils demonstrating challenging behaviours. </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5">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undertaking a DSL or DDSL role.</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t xml:space="preserve">Interpreting legislation, policies and regulations, applying them and providing advice to others on the content.</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external agencies to support safeguarding and child protection agendas </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communication skills.</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4">
            <w:pPr>
              <w:spacing w:line="259" w:lineRule="auto"/>
              <w:jc w:val="both"/>
              <w:rPr>
                <w:rFonts w:ascii="Arial" w:cs="Arial" w:eastAsia="Arial" w:hAnsi="Arial"/>
                <w:b w:val="1"/>
              </w:rPr>
            </w:pPr>
            <w:r w:rsidDel="00000000" w:rsidR="00000000" w:rsidRPr="00000000">
              <w:rPr>
                <w:rFonts w:ascii="Arial" w:cs="Arial" w:eastAsia="Arial" w:hAnsi="Arial"/>
                <w:sz w:val="22"/>
                <w:szCs w:val="22"/>
                <w:rtl w:val="0"/>
              </w:rPr>
              <w:t xml:space="preserve">Ability to work effectively with, relate to and earn the trust of young people, families and carers.</w:t>
            </w: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7">
            <w:pPr>
              <w:spacing w:line="259" w:lineRule="auto"/>
              <w:jc w:val="both"/>
              <w:rPr>
                <w:rFonts w:ascii="Arial" w:cs="Arial" w:eastAsia="Arial" w:hAnsi="Arial"/>
                <w:b w:val="1"/>
              </w:rPr>
            </w:pPr>
            <w:r w:rsidDel="00000000" w:rsidR="00000000" w:rsidRPr="00000000">
              <w:rPr>
                <w:rFonts w:ascii="Arial" w:cs="Arial" w:eastAsia="Arial" w:hAnsi="Arial"/>
                <w:sz w:val="22"/>
                <w:szCs w:val="22"/>
                <w:rtl w:val="0"/>
              </w:rPr>
              <w:t xml:space="preserve">Ability to work effectively with, relate to and earn the trust of academy staff.</w:t>
            </w: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Have good organisational skills.</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 and on own initiative.</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Use basic technology e.g. computer, photocopier.</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Have good organisational skills.</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the practice and procedure in education relating to the welfare, safety and education of young people.</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D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D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D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DB">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D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E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E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EA">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ED">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F3">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F6">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F9">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FF">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102">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7" w:type="default"/>
      <w:footerReference r:id="rId18"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Designated Safeguarding Lead (Non-Teaching)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Designated Safeguarding Lead (Non-Teaching)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71"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71"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73" name="image12.png"/>
          <a:graphic>
            <a:graphicData uri="http://schemas.openxmlformats.org/drawingml/2006/picture">
              <pic:pic>
                <pic:nvPicPr>
                  <pic:cNvPr id="0" name="image12.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7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6.png"/><Relationship Id="rId14" Type="http://schemas.openxmlformats.org/officeDocument/2006/relationships/image" Target="media/image7.png"/><Relationship Id="rId17" Type="http://schemas.openxmlformats.org/officeDocument/2006/relationships/header" Target="header2.xml"/><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bPr4save7fZorosAKLC29S8A==">CgMxLjA4AHIhMTBhaEZWOUdWMFdnTENOY1pkUWpiZjNOcVVMVlcxV3h5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2023-03-08T13:42:00Z</dcterms:created>
  <dc:creator>Michael Mursell</dc:creator>
</cp:coreProperties>
</file>