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C44EC5F" w:rsidR="00A91186" w:rsidRPr="00326687" w:rsidRDefault="00A41ED8" w:rsidP="001400F2">
      <w:pPr>
        <w:tabs>
          <w:tab w:val="left" w:pos="0"/>
          <w:tab w:val="left" w:pos="900"/>
        </w:tabs>
        <w:ind w:right="6"/>
        <w:rPr>
          <w:rFonts w:cs="Poppins"/>
          <w:b/>
          <w:sz w:val="16"/>
          <w:szCs w:val="16"/>
        </w:rPr>
      </w:pPr>
      <w:r>
        <w:rPr>
          <w:rFonts w:ascii="Tahoma" w:hAnsi="Tahoma" w:cs="Tahoma"/>
          <w:noProof/>
          <w:lang w:eastAsia="en-GB"/>
        </w:rPr>
        <w:drawing>
          <wp:anchor distT="0" distB="0" distL="114300" distR="114300" simplePos="0" relativeHeight="251660288" behindDoc="0" locked="0" layoutInCell="1" allowOverlap="1" wp14:anchorId="5352B3B6" wp14:editId="2B587ECE">
            <wp:simplePos x="0" y="0"/>
            <wp:positionH relativeFrom="margin">
              <wp:align>right</wp:align>
            </wp:positionH>
            <wp:positionV relativeFrom="paragraph">
              <wp:posOffset>-306705</wp:posOffset>
            </wp:positionV>
            <wp:extent cx="1825625" cy="566607"/>
            <wp:effectExtent l="0" t="0" r="3175" b="5080"/>
            <wp:wrapNone/>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5625" cy="566607"/>
                    </a:xfrm>
                    <a:prstGeom prst="rect">
                      <a:avLst/>
                    </a:prstGeom>
                  </pic:spPr>
                </pic:pic>
              </a:graphicData>
            </a:graphic>
            <wp14:sizeRelH relativeFrom="margin">
              <wp14:pctWidth>0</wp14:pctWidth>
            </wp14:sizeRelH>
            <wp14:sizeRelV relativeFrom="margin">
              <wp14:pctHeight>0</wp14:pctHeight>
            </wp14:sizeRelV>
          </wp:anchor>
        </w:drawing>
      </w:r>
      <w:r w:rsidRPr="00326687">
        <w:rPr>
          <w:rFonts w:cs="Poppins"/>
          <w:b/>
          <w:noProof/>
          <w:sz w:val="16"/>
          <w:szCs w:val="16"/>
        </w:rPr>
        <w:drawing>
          <wp:anchor distT="0" distB="0" distL="114300" distR="114300" simplePos="0" relativeHeight="251658240" behindDoc="1" locked="0" layoutInCell="1" allowOverlap="1" wp14:anchorId="771E7473" wp14:editId="51D67522">
            <wp:simplePos x="0" y="0"/>
            <wp:positionH relativeFrom="margin">
              <wp:align>left</wp:align>
            </wp:positionH>
            <wp:positionV relativeFrom="paragraph">
              <wp:posOffset>-487045</wp:posOffset>
            </wp:positionV>
            <wp:extent cx="1362075" cy="98881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2" cstate="print">
                      <a:extLst>
                        <a:ext uri="{28A0092B-C50C-407E-A947-70E740481C1C}">
                          <a14:useLocalDpi xmlns:a14="http://schemas.microsoft.com/office/drawing/2010/main" val="0"/>
                        </a:ext>
                      </a:extLst>
                    </a:blip>
                    <a:srcRect t="9840" r="66138" b="46459"/>
                    <a:stretch/>
                  </pic:blipFill>
                  <pic:spPr bwMode="auto">
                    <a:xfrm>
                      <a:off x="0" y="0"/>
                      <a:ext cx="1362075" cy="9888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00F2" w:rsidRPr="00326687">
        <w:rPr>
          <w:rFonts w:cs="Poppins"/>
          <w:b/>
          <w:sz w:val="16"/>
          <w:szCs w:val="16"/>
        </w:rPr>
        <w:tab/>
      </w:r>
    </w:p>
    <w:p w14:paraId="0A37501D" w14:textId="052B6F24" w:rsidR="00093BD7" w:rsidRPr="00326687" w:rsidRDefault="00685EA7" w:rsidP="00A41ED8">
      <w:pPr>
        <w:tabs>
          <w:tab w:val="right" w:pos="9208"/>
        </w:tabs>
        <w:ind w:right="6"/>
        <w:jc w:val="right"/>
        <w:rPr>
          <w:rFonts w:cs="Poppins"/>
          <w:b/>
          <w:sz w:val="16"/>
          <w:szCs w:val="16"/>
        </w:rPr>
      </w:pPr>
      <w:r w:rsidRPr="00326687">
        <w:rPr>
          <w:rFonts w:cs="Poppins"/>
          <w:b/>
          <w:sz w:val="16"/>
          <w:szCs w:val="16"/>
        </w:rPr>
        <w:tab/>
      </w:r>
      <w:r w:rsidR="4B0842D8" w:rsidRPr="0A2415EF">
        <w:rPr>
          <w:rFonts w:cs="Poppins"/>
          <w:b/>
          <w:bCs/>
          <w:color w:val="FF0000"/>
        </w:rPr>
        <w:t xml:space="preserve"> </w:t>
      </w: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54A31199"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190388" w:rsidRPr="00326687">
        <w:rPr>
          <w:rFonts w:cs="Poppins"/>
          <w:color w:val="008080"/>
          <w:szCs w:val="22"/>
        </w:rPr>
        <w:tab/>
      </w:r>
      <w:r w:rsidR="00DA4776" w:rsidRPr="0091351E">
        <w:rPr>
          <w:rFonts w:cs="Poppins"/>
          <w:color w:val="008080"/>
          <w:szCs w:val="22"/>
        </w:rPr>
        <w:t>Design &amp; Technology</w:t>
      </w:r>
      <w:r w:rsidR="000339C2" w:rsidRPr="0091351E">
        <w:rPr>
          <w:rFonts w:cs="Poppins"/>
          <w:color w:val="008080"/>
          <w:szCs w:val="22"/>
        </w:rPr>
        <w:t xml:space="preserve"> 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B5B09C2"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proofErr w:type="gramStart"/>
      <w:r w:rsidRPr="00326687">
        <w:rPr>
          <w:rFonts w:cs="Poppins"/>
          <w:color w:val="008080"/>
          <w:szCs w:val="22"/>
        </w:rPr>
        <w:t>:</w:t>
      </w:r>
      <w:r w:rsidR="004E37A0" w:rsidRPr="00326687">
        <w:rPr>
          <w:rFonts w:cs="Poppins"/>
          <w:color w:val="008080"/>
          <w:szCs w:val="22"/>
        </w:rPr>
        <w:tab/>
      </w:r>
      <w:r w:rsidR="008701E2">
        <w:rPr>
          <w:rFonts w:cs="Poppins"/>
          <w:color w:val="008080"/>
          <w:szCs w:val="22"/>
        </w:rPr>
        <w:tab/>
      </w:r>
      <w:proofErr w:type="spellStart"/>
      <w:r w:rsidR="000339C2">
        <w:rPr>
          <w:rFonts w:cs="Poppins"/>
          <w:color w:val="008080"/>
          <w:szCs w:val="22"/>
        </w:rPr>
        <w:t>Mainscale</w:t>
      </w:r>
      <w:proofErr w:type="spellEnd"/>
      <w:proofErr w:type="gramEnd"/>
      <w:r w:rsidR="000339C2">
        <w:rPr>
          <w:rFonts w:cs="Poppins"/>
          <w:color w:val="008080"/>
          <w:szCs w:val="22"/>
        </w:rPr>
        <w:t xml:space="preserve"> - UPS</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5DB51C26">
      <w:pPr>
        <w:rPr>
          <w:rFonts w:cs="Poppins"/>
          <w:b/>
          <w:bCs/>
          <w:color w:val="008080"/>
        </w:rPr>
      </w:pPr>
      <w:r w:rsidRPr="5DB51C26">
        <w:rPr>
          <w:rFonts w:cs="Poppins"/>
          <w:b/>
          <w:bCs/>
          <w:color w:val="008080"/>
        </w:rPr>
        <w:t>Relationships</w:t>
      </w:r>
      <w: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 xml:space="preserve">n all matters relating to this post. All staff are ultimately responsible </w:t>
      </w:r>
      <w:proofErr w:type="gramStart"/>
      <w:r w:rsidRPr="0A2415EF">
        <w:rPr>
          <w:rFonts w:cs="Poppins"/>
          <w:sz w:val="20"/>
        </w:rPr>
        <w:t>to</w:t>
      </w:r>
      <w:proofErr w:type="gramEnd"/>
      <w:r w:rsidRPr="0A2415EF">
        <w:rPr>
          <w:rFonts w:cs="Poppins"/>
          <w:sz w:val="20"/>
        </w:rPr>
        <w:t xml:space="preserve">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w:t>
      </w:r>
      <w:proofErr w:type="gramStart"/>
      <w:r w:rsidRPr="000339C2">
        <w:rPr>
          <w:lang w:val="en-GB"/>
        </w:rPr>
        <w:t>In particular you</w:t>
      </w:r>
      <w:proofErr w:type="gramEnd"/>
      <w:r w:rsidRPr="000339C2">
        <w:rPr>
          <w:lang w:val="en-GB"/>
        </w:rPr>
        <w:t xml:space="preserve">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lastRenderedPageBreak/>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attend staff and parents’ meetings according to the agreed schedule, as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w:t>
      </w:r>
      <w:proofErr w:type="gramStart"/>
      <w:r w:rsidRPr="0A2415EF">
        <w:rPr>
          <w:rFonts w:ascii="Poppins" w:hAnsi="Poppins" w:cs="Poppins"/>
          <w:sz w:val="20"/>
          <w:szCs w:val="20"/>
        </w:rPr>
        <w:t>in the course of</w:t>
      </w:r>
      <w:proofErr w:type="gramEnd"/>
      <w:r w:rsidRPr="0A2415EF">
        <w:rPr>
          <w:rFonts w:ascii="Poppins" w:hAnsi="Poppins" w:cs="Poppins"/>
          <w:sz w:val="20"/>
          <w:szCs w:val="20"/>
        </w:rPr>
        <w:t xml:space="preserve"> the academic year, at the request of the </w:t>
      </w:r>
      <w:proofErr w:type="gramStart"/>
      <w:r w:rsidRPr="0A2415EF">
        <w:rPr>
          <w:rFonts w:ascii="Poppins" w:hAnsi="Poppins" w:cs="Poppins"/>
          <w:sz w:val="20"/>
          <w:szCs w:val="20"/>
        </w:rPr>
        <w:t>Principal</w:t>
      </w:r>
      <w:proofErr w:type="gramEnd"/>
      <w:r w:rsidRPr="0A2415EF">
        <w:rPr>
          <w:rFonts w:ascii="Poppins" w:hAnsi="Poppins" w:cs="Poppins"/>
          <w:sz w:val="20"/>
          <w:szCs w:val="20"/>
        </w:rPr>
        <w:t xml:space="preserve">,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w:t>
      </w:r>
      <w:proofErr w:type="spellStart"/>
      <w:r w:rsidRPr="0A2415EF">
        <w:rPr>
          <w:rFonts w:ascii="Poppins" w:eastAsia="Poppins" w:hAnsi="Poppins" w:cs="Poppins"/>
          <w:sz w:val="20"/>
          <w:szCs w:val="20"/>
          <w:lang w:val="en-US"/>
        </w:rPr>
        <w:t>aE’s</w:t>
      </w:r>
      <w:proofErr w:type="spellEnd"/>
      <w:r w:rsidRPr="0A2415EF">
        <w:rPr>
          <w:rFonts w:ascii="Poppins" w:eastAsia="Poppins" w:hAnsi="Poppins" w:cs="Poppins"/>
          <w:sz w:val="20"/>
          <w:szCs w:val="20"/>
          <w:lang w:val="en-US"/>
        </w:rPr>
        <w:t xml:space="preserve">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t>
      </w:r>
      <w:proofErr w:type="gramStart"/>
      <w:r w:rsidRPr="0A2415EF">
        <w:rPr>
          <w:rFonts w:ascii="Poppins" w:eastAsia="Poppins" w:hAnsi="Poppins" w:cs="Poppins"/>
          <w:sz w:val="20"/>
          <w:szCs w:val="20"/>
          <w:lang w:val="en-US"/>
        </w:rPr>
        <w:t>with in</w:t>
      </w:r>
      <w:proofErr w:type="gramEnd"/>
      <w:r w:rsidRPr="0A2415EF">
        <w:rPr>
          <w:rFonts w:ascii="Poppins" w:eastAsia="Poppins" w:hAnsi="Poppins" w:cs="Poppins"/>
          <w:sz w:val="20"/>
          <w:szCs w:val="20"/>
          <w:lang w:val="en-US"/>
        </w:rPr>
        <w:t xml:space="preserve">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relationship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lastRenderedPageBreak/>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w:t>
      </w:r>
      <w:proofErr w:type="gramStart"/>
      <w:r w:rsidRPr="0A2415EF">
        <w:rPr>
          <w:rFonts w:eastAsia="Poppins" w:cs="Poppins"/>
          <w:b/>
          <w:bCs/>
          <w:sz w:val="20"/>
        </w:rPr>
        <w:t>…..</w:t>
      </w:r>
      <w:proofErr w:type="gramEnd"/>
      <w:r w:rsidRPr="0A2415EF">
        <w:rPr>
          <w:rFonts w:eastAsia="Poppins" w:cs="Poppins"/>
          <w:b/>
          <w:bCs/>
          <w:sz w:val="20"/>
        </w:rPr>
        <w:t xml:space="preserve">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91351E">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029D"/>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1351E"/>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1ED8"/>
    <w:rsid w:val="00A45B47"/>
    <w:rsid w:val="00A630BC"/>
    <w:rsid w:val="00A645C3"/>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31D15"/>
    <w:rsid w:val="00D50919"/>
    <w:rsid w:val="00D511FB"/>
    <w:rsid w:val="00D854D1"/>
    <w:rsid w:val="00DA4776"/>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customXml/itemProps4.xml><?xml version="1.0" encoding="utf-8"?>
<ds:datastoreItem xmlns:ds="http://schemas.openxmlformats.org/officeDocument/2006/customXml" ds:itemID="{CCC2EB79-3BF1-4303-8443-EC3DAC4681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www.w3.org/XML/1998/namespace"/>
    <ds:schemaRef ds:uri="http://purl.org/dc/dcmitype/"/>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6602</Characters>
  <Application>Microsoft Office Word</Application>
  <DocSecurity>0</DocSecurity>
  <Lines>55</Lines>
  <Paragraphs>15</Paragraphs>
  <ScaleCrop>false</ScaleCrop>
  <Company>Bournemouth Borough Council</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4</cp:revision>
  <cp:lastPrinted>2021-03-15T19:48:00Z</cp:lastPrinted>
  <dcterms:created xsi:type="dcterms:W3CDTF">2025-09-24T08:21:00Z</dcterms:created>
  <dcterms:modified xsi:type="dcterms:W3CDTF">2025-09-24T08:26:00Z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