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34" w:rsidRDefault="00211434" w:rsidP="004306B2">
      <w:pPr>
        <w:spacing w:after="0" w:line="240" w:lineRule="auto"/>
        <w:ind w:left="6120" w:hanging="5940"/>
        <w:jc w:val="center"/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65E1B71" wp14:editId="634F6589">
            <wp:extent cx="1266825" cy="47377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40" cy="4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434" w:rsidRPr="00DA63EE" w:rsidRDefault="00211434" w:rsidP="00211434">
      <w:pPr>
        <w:spacing w:after="0" w:line="240" w:lineRule="auto"/>
        <w:ind w:left="-45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8C1E1D">
        <w:rPr>
          <w:b/>
          <w:sz w:val="20"/>
          <w:szCs w:val="20"/>
        </w:rPr>
        <w:t xml:space="preserve">                        </w:t>
      </w:r>
      <w:r w:rsidR="004306B2">
        <w:rPr>
          <w:b/>
          <w:sz w:val="20"/>
          <w:szCs w:val="20"/>
        </w:rPr>
        <w:t xml:space="preserve">                                                                         </w:t>
      </w:r>
      <w:r w:rsidRPr="008C1E1D">
        <w:rPr>
          <w:b/>
          <w:sz w:val="20"/>
          <w:szCs w:val="20"/>
        </w:rPr>
        <w:t xml:space="preserve"> </w:t>
      </w:r>
      <w:r w:rsidRPr="00DA63EE">
        <w:rPr>
          <w:rFonts w:ascii="Arial" w:hAnsi="Arial" w:cs="Arial"/>
          <w:b/>
          <w:color w:val="FF0000"/>
          <w:sz w:val="18"/>
          <w:szCs w:val="18"/>
        </w:rPr>
        <w:t>Schools’ Personnel:</w:t>
      </w:r>
    </w:p>
    <w:p w:rsidR="00211434" w:rsidRPr="008C1E1D" w:rsidRDefault="00211434" w:rsidP="00211434">
      <w:pPr>
        <w:spacing w:after="0" w:line="240" w:lineRule="auto"/>
        <w:ind w:left="900" w:hanging="7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A63EE">
        <w:rPr>
          <w:rFonts w:ascii="Arial" w:hAnsi="Arial" w:cs="Arial"/>
          <w:b/>
          <w:color w:val="FF0000"/>
          <w:sz w:val="18"/>
          <w:szCs w:val="18"/>
        </w:rPr>
        <w:t xml:space="preserve">    </w:t>
      </w:r>
      <w:r w:rsidR="008C1E1D" w:rsidRPr="00DA63E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4306B2" w:rsidRPr="00DA63EE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</w:t>
      </w:r>
      <w:r w:rsidR="008C1E1D" w:rsidRPr="00DA63EE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A63EE">
        <w:rPr>
          <w:rFonts w:ascii="Arial" w:hAnsi="Arial" w:cs="Arial"/>
          <w:b/>
          <w:color w:val="FF0000"/>
          <w:sz w:val="18"/>
          <w:szCs w:val="18"/>
        </w:rPr>
        <w:t xml:space="preserve">        </w:t>
      </w:r>
      <w:proofErr w:type="gramStart"/>
      <w:r w:rsidRPr="00DA63EE">
        <w:rPr>
          <w:rFonts w:ascii="Arial" w:hAnsi="Arial" w:cs="Arial"/>
          <w:b/>
          <w:color w:val="FF0000"/>
          <w:sz w:val="18"/>
          <w:szCs w:val="18"/>
        </w:rPr>
        <w:t>get</w:t>
      </w:r>
      <w:proofErr w:type="gramEnd"/>
      <w:r w:rsidRPr="00DA63EE">
        <w:rPr>
          <w:rFonts w:ascii="Arial" w:hAnsi="Arial" w:cs="Arial"/>
          <w:b/>
          <w:color w:val="FF0000"/>
          <w:sz w:val="18"/>
          <w:szCs w:val="18"/>
        </w:rPr>
        <w:t xml:space="preserve"> the chemistry right</w:t>
      </w:r>
    </w:p>
    <w:p w:rsidR="004306B2" w:rsidRDefault="004306B2" w:rsidP="008C1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A63EE" w:rsidRDefault="008C1E1D" w:rsidP="008C1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Model Policy Statement for Schools</w:t>
      </w:r>
      <w:r w:rsidR="00DA63EE">
        <w:rPr>
          <w:rFonts w:ascii="Arial" w:hAnsi="Arial" w:cs="Arial"/>
          <w:b/>
          <w:sz w:val="24"/>
          <w:szCs w:val="24"/>
          <w:u w:val="single"/>
        </w:rPr>
        <w:t>:</w:t>
      </w:r>
    </w:p>
    <w:p w:rsidR="008C1E1D" w:rsidRDefault="00DA63EE" w:rsidP="008C1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8C1E1D">
        <w:rPr>
          <w:rFonts w:ascii="Arial" w:hAnsi="Arial" w:cs="Arial"/>
          <w:b/>
          <w:sz w:val="24"/>
          <w:szCs w:val="24"/>
          <w:u w:val="single"/>
        </w:rPr>
        <w:t>he Recruitment of Ex-Offenders</w:t>
      </w:r>
    </w:p>
    <w:p w:rsidR="008C1E1D" w:rsidRDefault="008C1E1D" w:rsidP="00E205C0">
      <w:pPr>
        <w:spacing w:after="0" w:line="240" w:lineRule="auto"/>
        <w:jc w:val="center"/>
        <w:rPr>
          <w:rFonts w:ascii="Arial" w:hAnsi="Arial" w:cs="Arial"/>
        </w:rPr>
      </w:pPr>
    </w:p>
    <w:p w:rsidR="00320DBD" w:rsidRPr="00320DBD" w:rsidRDefault="00320DBD" w:rsidP="00A312EE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INTRODUCTION</w:t>
      </w:r>
    </w:p>
    <w:p w:rsidR="00320DBD" w:rsidRDefault="00320DBD" w:rsidP="00A312EE">
      <w:pPr>
        <w:spacing w:after="0" w:line="240" w:lineRule="auto"/>
        <w:jc w:val="both"/>
        <w:rPr>
          <w:rFonts w:ascii="Arial" w:hAnsi="Arial" w:cs="Arial"/>
        </w:rPr>
      </w:pPr>
    </w:p>
    <w:p w:rsidR="00A312EE" w:rsidRDefault="00A312EE" w:rsidP="00A312EE">
      <w:pPr>
        <w:spacing w:after="0" w:line="240" w:lineRule="auto"/>
        <w:jc w:val="both"/>
        <w:rPr>
          <w:rFonts w:ascii="Arial" w:hAnsi="Arial" w:cs="Arial"/>
        </w:rPr>
      </w:pPr>
      <w:r w:rsidRPr="005F782E">
        <w:rPr>
          <w:rFonts w:ascii="Arial" w:hAnsi="Arial" w:cs="Arial"/>
        </w:rPr>
        <w:t xml:space="preserve">All school-based roles are exempt from the </w:t>
      </w:r>
      <w:r>
        <w:rPr>
          <w:rFonts w:ascii="Arial" w:hAnsi="Arial" w:cs="Arial"/>
        </w:rPr>
        <w:t>R</w:t>
      </w:r>
      <w:r w:rsidRPr="005F782E">
        <w:rPr>
          <w:rFonts w:ascii="Arial" w:hAnsi="Arial" w:cs="Arial"/>
        </w:rPr>
        <w:t xml:space="preserve">ehabilitation of </w:t>
      </w:r>
      <w:r>
        <w:rPr>
          <w:rFonts w:ascii="Arial" w:hAnsi="Arial" w:cs="Arial"/>
        </w:rPr>
        <w:t>O</w:t>
      </w:r>
      <w:r w:rsidRPr="005F782E">
        <w:rPr>
          <w:rFonts w:ascii="Arial" w:hAnsi="Arial" w:cs="Arial"/>
        </w:rPr>
        <w:t xml:space="preserve">ffenders </w:t>
      </w:r>
      <w:r>
        <w:rPr>
          <w:rFonts w:ascii="Arial" w:hAnsi="Arial" w:cs="Arial"/>
        </w:rPr>
        <w:t xml:space="preserve">Act </w:t>
      </w:r>
      <w:r w:rsidR="00E946C1">
        <w:rPr>
          <w:rFonts w:ascii="Arial" w:hAnsi="Arial" w:cs="Arial"/>
        </w:rPr>
        <w:t xml:space="preserve">(ROA) </w:t>
      </w:r>
      <w:r>
        <w:rPr>
          <w:rFonts w:ascii="Arial" w:hAnsi="Arial" w:cs="Arial"/>
        </w:rPr>
        <w:t xml:space="preserve">1974 as the work brings employees/workers into contact with a vulnerable group (which includes children, as well as adults deemed to be vulnerable). </w:t>
      </w:r>
    </w:p>
    <w:p w:rsidR="00A312EE" w:rsidRPr="005F782E" w:rsidRDefault="00A312EE" w:rsidP="00A312EE">
      <w:pPr>
        <w:spacing w:after="0" w:line="240" w:lineRule="auto"/>
        <w:jc w:val="both"/>
        <w:rPr>
          <w:rFonts w:ascii="Arial" w:hAnsi="Arial" w:cs="Arial"/>
        </w:rPr>
      </w:pPr>
    </w:p>
    <w:p w:rsidR="008C1E1D" w:rsidRDefault="00A312EE" w:rsidP="00320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C1E1D">
        <w:rPr>
          <w:rFonts w:ascii="Arial" w:hAnsi="Arial" w:cs="Arial"/>
        </w:rPr>
        <w:t xml:space="preserve">ll potential employees/workers in a school setting </w:t>
      </w:r>
      <w:r w:rsidR="00FF3CD1">
        <w:rPr>
          <w:rFonts w:ascii="Arial" w:hAnsi="Arial" w:cs="Arial"/>
        </w:rPr>
        <w:t>are</w:t>
      </w:r>
      <w:r w:rsidR="00E205C0">
        <w:rPr>
          <w:rFonts w:ascii="Arial" w:hAnsi="Arial" w:cs="Arial"/>
        </w:rPr>
        <w:t xml:space="preserve"> subject to an Enhanced Disclosure and Barring Service (DBS) </w:t>
      </w:r>
      <w:r>
        <w:rPr>
          <w:rFonts w:ascii="Arial" w:hAnsi="Arial" w:cs="Arial"/>
        </w:rPr>
        <w:t>c</w:t>
      </w:r>
      <w:r w:rsidR="00E205C0">
        <w:rPr>
          <w:rFonts w:ascii="Arial" w:hAnsi="Arial" w:cs="Arial"/>
        </w:rPr>
        <w:t>heck</w:t>
      </w:r>
      <w:r>
        <w:rPr>
          <w:rFonts w:ascii="Arial" w:hAnsi="Arial" w:cs="Arial"/>
        </w:rPr>
        <w:t xml:space="preserve"> to confirm details of any criminal record that they individual may have.</w:t>
      </w:r>
      <w:r w:rsidR="00E205C0">
        <w:rPr>
          <w:rFonts w:ascii="Arial" w:hAnsi="Arial" w:cs="Arial"/>
        </w:rPr>
        <w:t xml:space="preserve"> Where this is paid work, or unsupervised unpaid work, they will be deemed to be in Regulated Activity and this check will also include a</w:t>
      </w:r>
      <w:r>
        <w:rPr>
          <w:rFonts w:ascii="Arial" w:hAnsi="Arial" w:cs="Arial"/>
        </w:rPr>
        <w:t>n additional</w:t>
      </w:r>
      <w:r w:rsidR="00E20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check to determine if s/he is barred from working with children (and/or vulnerable adults, </w:t>
      </w:r>
      <w:r w:rsidR="00327F85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relevant). </w:t>
      </w:r>
      <w:r w:rsidR="00E205C0">
        <w:rPr>
          <w:rFonts w:ascii="Arial" w:hAnsi="Arial" w:cs="Arial"/>
        </w:rPr>
        <w:t xml:space="preserve"> </w:t>
      </w:r>
      <w:r w:rsidR="00E946C1">
        <w:rPr>
          <w:rFonts w:ascii="Arial" w:hAnsi="Arial" w:cs="Arial"/>
        </w:rPr>
        <w:t>As the role is exempt from the ROA</w:t>
      </w:r>
      <w:r w:rsidR="00FF3CD1">
        <w:rPr>
          <w:rFonts w:ascii="Arial" w:hAnsi="Arial" w:cs="Arial"/>
        </w:rPr>
        <w:t>, potential employees/workers will be asked about ‘unspent’ and ‘relevant spent’ convictions, cautions, reprimands and warnings. These will be the only ones appearing on Disclosure certificates</w:t>
      </w:r>
      <w:r w:rsidR="00EA7F3F">
        <w:rPr>
          <w:rFonts w:ascii="Arial" w:hAnsi="Arial" w:cs="Arial"/>
        </w:rPr>
        <w:t xml:space="preserve">. Other minor, older offences will be ‘filtered out’ after the relevant time period set out in legislation. </w:t>
      </w:r>
      <w:r w:rsidR="00FF3CD1">
        <w:rPr>
          <w:rFonts w:ascii="Arial" w:hAnsi="Arial" w:cs="Arial"/>
        </w:rPr>
        <w:t xml:space="preserve"> </w:t>
      </w:r>
      <w:r w:rsidR="007A5469">
        <w:rPr>
          <w:rFonts w:ascii="Arial" w:hAnsi="Arial" w:cs="Arial"/>
        </w:rPr>
        <w:t>An Enhanced DBS check may also contain non-conviction information from Police records where the Chief Police Officer reasonably believes it to be relevant to the role.</w:t>
      </w:r>
      <w:r w:rsidR="00FF3CD1">
        <w:rPr>
          <w:rFonts w:ascii="Arial" w:hAnsi="Arial" w:cs="Arial"/>
        </w:rPr>
        <w:t xml:space="preserve"> </w:t>
      </w:r>
    </w:p>
    <w:p w:rsidR="00EC5EAF" w:rsidRDefault="00EC5EAF" w:rsidP="00320DBD">
      <w:pPr>
        <w:spacing w:after="0" w:line="240" w:lineRule="auto"/>
        <w:jc w:val="both"/>
        <w:rPr>
          <w:rFonts w:ascii="Arial" w:hAnsi="Arial" w:cs="Arial"/>
        </w:rPr>
      </w:pPr>
    </w:p>
    <w:p w:rsidR="00EC5EAF" w:rsidRPr="008C1E1D" w:rsidRDefault="00563D59" w:rsidP="00320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Unless barred </w:t>
      </w:r>
      <w:r w:rsidR="00602056">
        <w:rPr>
          <w:rFonts w:ascii="Arial" w:hAnsi="Arial" w:cs="Arial"/>
        </w:rPr>
        <w:t xml:space="preserve">by statute </w:t>
      </w:r>
      <w:r>
        <w:rPr>
          <w:rFonts w:ascii="Arial" w:hAnsi="Arial" w:cs="Arial"/>
        </w:rPr>
        <w:t xml:space="preserve">from doing so, having a criminal record does not automatically mean that an individual cannot work in a school. </w:t>
      </w:r>
      <w:r w:rsidR="00602056">
        <w:rPr>
          <w:rFonts w:ascii="Arial" w:hAnsi="Arial" w:cs="Arial"/>
        </w:rPr>
        <w:t>It is for employers to consider the factors involved and assess the risk in terms of their own workplace. A</w:t>
      </w:r>
      <w:r>
        <w:rPr>
          <w:rFonts w:ascii="Arial" w:hAnsi="Arial" w:cs="Arial"/>
        </w:rPr>
        <w:t>ll applicants must be treated fairly and given equal opportunities</w:t>
      </w:r>
      <w:r w:rsidR="00602056">
        <w:rPr>
          <w:rFonts w:ascii="Arial" w:hAnsi="Arial" w:cs="Arial"/>
        </w:rPr>
        <w:t xml:space="preserve"> in terms of their status and background</w:t>
      </w:r>
      <w:r>
        <w:rPr>
          <w:rFonts w:ascii="Arial" w:hAnsi="Arial" w:cs="Arial"/>
        </w:rPr>
        <w:t xml:space="preserve">. This </w:t>
      </w:r>
      <w:r w:rsidR="00602056">
        <w:rPr>
          <w:rFonts w:ascii="Arial" w:hAnsi="Arial" w:cs="Arial"/>
        </w:rPr>
        <w:t xml:space="preserve">document sets out the </w:t>
      </w:r>
      <w:r w:rsidR="00602056" w:rsidRPr="00602056">
        <w:rPr>
          <w:rFonts w:ascii="Arial" w:hAnsi="Arial" w:cs="Arial"/>
          <w:i/>
        </w:rPr>
        <w:t>school’s</w:t>
      </w:r>
      <w:r w:rsidR="00EC5EAF">
        <w:rPr>
          <w:rFonts w:ascii="Arial" w:hAnsi="Arial" w:cs="Arial"/>
        </w:rPr>
        <w:t xml:space="preserve"> </w:t>
      </w:r>
      <w:r w:rsidR="00602056">
        <w:rPr>
          <w:rFonts w:ascii="Arial" w:hAnsi="Arial" w:cs="Arial"/>
        </w:rPr>
        <w:t>policy in relation to criminal records and the recruitment of ex-offenders.</w:t>
      </w:r>
    </w:p>
    <w:p w:rsidR="008C1E1D" w:rsidRDefault="008C1E1D" w:rsidP="00320D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A3000" w:rsidRPr="00320DBD" w:rsidRDefault="009A3000" w:rsidP="009A300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POLICY</w:t>
      </w:r>
      <w:r w:rsidR="00602056">
        <w:rPr>
          <w:rFonts w:ascii="Arial" w:hAnsi="Arial" w:cs="Arial"/>
          <w:b/>
          <w:u w:val="single"/>
        </w:rPr>
        <w:t xml:space="preserve"> STATEMENT</w:t>
      </w:r>
    </w:p>
    <w:p w:rsidR="009A3000" w:rsidRDefault="009A3000" w:rsidP="00320DBD">
      <w:pPr>
        <w:spacing w:after="0" w:line="240" w:lineRule="auto"/>
        <w:jc w:val="both"/>
        <w:rPr>
          <w:rFonts w:ascii="Arial" w:hAnsi="Arial" w:cs="Arial"/>
        </w:rPr>
      </w:pPr>
    </w:p>
    <w:p w:rsidR="00EA7F3F" w:rsidRPr="00680447" w:rsidRDefault="00EA7F3F" w:rsidP="00320DBD">
      <w:pPr>
        <w:spacing w:after="0" w:line="240" w:lineRule="auto"/>
        <w:jc w:val="both"/>
        <w:rPr>
          <w:rFonts w:ascii="Arial" w:hAnsi="Arial" w:cs="Arial"/>
        </w:rPr>
      </w:pPr>
      <w:r w:rsidRPr="00680447">
        <w:rPr>
          <w:rFonts w:ascii="Arial" w:hAnsi="Arial" w:cs="Arial"/>
        </w:rPr>
        <w:t>In relation to the above, it should be noted that:</w:t>
      </w:r>
    </w:p>
    <w:p w:rsidR="005F782E" w:rsidRDefault="005F782E" w:rsidP="00320DBD">
      <w:pPr>
        <w:spacing w:after="0" w:line="240" w:lineRule="auto"/>
        <w:jc w:val="both"/>
        <w:rPr>
          <w:rFonts w:ascii="Arial" w:hAnsi="Arial" w:cs="Arial"/>
        </w:rPr>
      </w:pPr>
    </w:p>
    <w:p w:rsidR="00320DBD" w:rsidRDefault="00320DBD" w:rsidP="00320D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all </w:t>
      </w:r>
      <w:r w:rsidR="003B4321">
        <w:rPr>
          <w:rFonts w:ascii="Arial" w:hAnsi="Arial" w:cs="Arial"/>
        </w:rPr>
        <w:t xml:space="preserve">positions and </w:t>
      </w:r>
      <w:r>
        <w:rPr>
          <w:rFonts w:ascii="Arial" w:hAnsi="Arial" w:cs="Arial"/>
        </w:rPr>
        <w:t xml:space="preserve">roles, the </w:t>
      </w:r>
      <w:r>
        <w:rPr>
          <w:rFonts w:ascii="Arial" w:hAnsi="Arial" w:cs="Arial"/>
          <w:i/>
        </w:rPr>
        <w:t xml:space="preserve">school’s </w:t>
      </w:r>
      <w:r>
        <w:rPr>
          <w:rFonts w:ascii="Arial" w:hAnsi="Arial" w:cs="Arial"/>
        </w:rPr>
        <w:t>recruitment and selection process and materials will highlight the requirement for DBS and Barred List checks</w:t>
      </w:r>
      <w:r w:rsidR="003B4321">
        <w:rPr>
          <w:rFonts w:ascii="Arial" w:hAnsi="Arial" w:cs="Arial"/>
        </w:rPr>
        <w:t xml:space="preserve"> to be carried out</w:t>
      </w:r>
      <w:r>
        <w:rPr>
          <w:rFonts w:ascii="Arial" w:hAnsi="Arial" w:cs="Arial"/>
        </w:rPr>
        <w:t>, as appropriate</w:t>
      </w:r>
      <w:r w:rsidR="00BE185B">
        <w:rPr>
          <w:rFonts w:ascii="Arial" w:hAnsi="Arial" w:cs="Arial"/>
        </w:rPr>
        <w:t>.</w:t>
      </w:r>
    </w:p>
    <w:p w:rsidR="003B4321" w:rsidRPr="003B4321" w:rsidRDefault="003B4321" w:rsidP="003B432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20DBD" w:rsidRDefault="00796D23" w:rsidP="003B43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part of the application process, applicants will be required to complete a </w:t>
      </w:r>
      <w:r w:rsidR="00BE185B">
        <w:rPr>
          <w:rFonts w:ascii="Arial" w:hAnsi="Arial" w:cs="Arial"/>
        </w:rPr>
        <w:t xml:space="preserve">‘Declaration of Unspent and Relevant Spent Criminal Offences’ (also known as a self-disclosure). </w:t>
      </w:r>
      <w:r w:rsidR="00766281">
        <w:rPr>
          <w:rFonts w:ascii="Arial" w:hAnsi="Arial" w:cs="Arial"/>
        </w:rPr>
        <w:t xml:space="preserve">Certain old, minor offences are protected and applicants will not be asked to declare them. </w:t>
      </w:r>
      <w:r w:rsidR="00BE185B">
        <w:rPr>
          <w:rFonts w:ascii="Arial" w:hAnsi="Arial" w:cs="Arial"/>
        </w:rPr>
        <w:t xml:space="preserve">The purpose </w:t>
      </w:r>
      <w:r w:rsidR="00766281">
        <w:rPr>
          <w:rFonts w:ascii="Arial" w:hAnsi="Arial" w:cs="Arial"/>
        </w:rPr>
        <w:t xml:space="preserve">of the self-disclosure </w:t>
      </w:r>
      <w:r w:rsidR="00BE185B">
        <w:rPr>
          <w:rFonts w:ascii="Arial" w:hAnsi="Arial" w:cs="Arial"/>
        </w:rPr>
        <w:t xml:space="preserve">is to give applicants an opportunity to share relevant information at an early stage </w:t>
      </w:r>
      <w:r w:rsidR="00646DBC">
        <w:rPr>
          <w:rFonts w:ascii="Arial" w:hAnsi="Arial" w:cs="Arial"/>
        </w:rPr>
        <w:t xml:space="preserve">- in advance of a formal DBS check </w:t>
      </w:r>
      <w:r w:rsidR="00766281">
        <w:rPr>
          <w:rFonts w:ascii="Arial" w:hAnsi="Arial" w:cs="Arial"/>
        </w:rPr>
        <w:t xml:space="preserve">if </w:t>
      </w:r>
      <w:r w:rsidR="00646DBC">
        <w:rPr>
          <w:rFonts w:ascii="Arial" w:hAnsi="Arial" w:cs="Arial"/>
        </w:rPr>
        <w:t>they are subsequently made a conditional offer of employment/work</w:t>
      </w:r>
      <w:r w:rsidR="00766281">
        <w:rPr>
          <w:rFonts w:ascii="Arial" w:hAnsi="Arial" w:cs="Arial"/>
        </w:rPr>
        <w:t xml:space="preserve"> - allowing</w:t>
      </w:r>
      <w:r w:rsidR="00BE185B">
        <w:rPr>
          <w:rFonts w:ascii="Arial" w:hAnsi="Arial" w:cs="Arial"/>
        </w:rPr>
        <w:t xml:space="preserve"> information to be discussed and </w:t>
      </w:r>
      <w:r w:rsidR="00766281">
        <w:rPr>
          <w:rFonts w:ascii="Arial" w:hAnsi="Arial" w:cs="Arial"/>
        </w:rPr>
        <w:t xml:space="preserve">fully </w:t>
      </w:r>
      <w:r w:rsidR="00BE185B">
        <w:rPr>
          <w:rFonts w:ascii="Arial" w:hAnsi="Arial" w:cs="Arial"/>
        </w:rPr>
        <w:t>considered. Self-disclosure information will not be used for short-listing, which is based purely on fair and objective assessment criteria. Self-disclosure information will be considered</w:t>
      </w:r>
      <w:r w:rsidR="003B4321">
        <w:rPr>
          <w:rFonts w:ascii="Arial" w:hAnsi="Arial" w:cs="Arial"/>
        </w:rPr>
        <w:t xml:space="preserve"> only for shortlisted candidates and only in relation to its relevance to the role. </w:t>
      </w:r>
      <w:r w:rsidR="00BE185B">
        <w:rPr>
          <w:rFonts w:ascii="Arial" w:hAnsi="Arial" w:cs="Arial"/>
        </w:rPr>
        <w:t xml:space="preserve"> </w:t>
      </w:r>
    </w:p>
    <w:p w:rsidR="003B4321" w:rsidRPr="003B4321" w:rsidRDefault="003B4321" w:rsidP="003B4321">
      <w:pPr>
        <w:pStyle w:val="ListParagraph"/>
        <w:spacing w:after="0" w:line="240" w:lineRule="auto"/>
        <w:rPr>
          <w:rFonts w:ascii="Arial" w:hAnsi="Arial" w:cs="Arial"/>
        </w:rPr>
      </w:pPr>
    </w:p>
    <w:p w:rsidR="00320DBD" w:rsidRDefault="003B4321" w:rsidP="003B43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Following a conditional offer of employment, </w:t>
      </w:r>
      <w:r w:rsidR="00320DBD">
        <w:rPr>
          <w:rFonts w:ascii="Arial" w:hAnsi="Arial" w:cs="Arial"/>
        </w:rPr>
        <w:t xml:space="preserve">potential employees/workers will be subject to a DBS check in accordance with the requirements described </w:t>
      </w:r>
      <w:r>
        <w:rPr>
          <w:rFonts w:ascii="Arial" w:hAnsi="Arial" w:cs="Arial"/>
        </w:rPr>
        <w:t>in the ‘Introduction’ above</w:t>
      </w:r>
      <w:r w:rsidR="00320DBD">
        <w:rPr>
          <w:rFonts w:ascii="Arial" w:hAnsi="Arial" w:cs="Arial"/>
        </w:rPr>
        <w:t xml:space="preserve"> and as set out in legislation and statutory guidance for schools.</w:t>
      </w:r>
    </w:p>
    <w:p w:rsidR="00233B8B" w:rsidRPr="00233B8B" w:rsidRDefault="00233B8B" w:rsidP="00233B8B">
      <w:pPr>
        <w:pStyle w:val="ListParagraph"/>
        <w:rPr>
          <w:rFonts w:ascii="Arial" w:hAnsi="Arial" w:cs="Arial"/>
        </w:rPr>
      </w:pPr>
    </w:p>
    <w:p w:rsidR="00233B8B" w:rsidRDefault="00233B8B" w:rsidP="003B43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Information revealed on DBS Disclosure certificates will be compared with self-disclosure information provided by applicants. Failure </w:t>
      </w:r>
      <w:r w:rsidR="00EC5EAF">
        <w:rPr>
          <w:rFonts w:ascii="Arial" w:hAnsi="Arial" w:cs="Arial"/>
        </w:rPr>
        <w:t xml:space="preserve">by an applicant </w:t>
      </w:r>
      <w:r>
        <w:rPr>
          <w:rFonts w:ascii="Arial" w:hAnsi="Arial" w:cs="Arial"/>
        </w:rPr>
        <w:t xml:space="preserve">to </w:t>
      </w:r>
      <w:r w:rsidR="00EC5EAF">
        <w:rPr>
          <w:rFonts w:ascii="Arial" w:hAnsi="Arial" w:cs="Arial"/>
        </w:rPr>
        <w:t>reveal relevant information</w:t>
      </w:r>
      <w:r>
        <w:rPr>
          <w:rFonts w:ascii="Arial" w:hAnsi="Arial" w:cs="Arial"/>
        </w:rPr>
        <w:t xml:space="preserve"> </w:t>
      </w:r>
      <w:r w:rsidR="00EC5EAF">
        <w:rPr>
          <w:rFonts w:ascii="Arial" w:hAnsi="Arial" w:cs="Arial"/>
        </w:rPr>
        <w:t>could lead to the withdrawal of a conditional offer of employment.</w:t>
      </w:r>
    </w:p>
    <w:p w:rsidR="003B4321" w:rsidRPr="003B4321" w:rsidRDefault="003B4321" w:rsidP="003B4321">
      <w:pPr>
        <w:pStyle w:val="ListParagraph"/>
        <w:rPr>
          <w:rFonts w:ascii="Arial" w:hAnsi="Arial" w:cs="Arial"/>
        </w:rPr>
      </w:pPr>
    </w:p>
    <w:p w:rsidR="003B4321" w:rsidRDefault="00646DBC" w:rsidP="003B43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 xml:space="preserve">school </w:t>
      </w:r>
      <w:r>
        <w:rPr>
          <w:rFonts w:ascii="Arial" w:hAnsi="Arial" w:cs="Arial"/>
        </w:rPr>
        <w:t>is committed to the fair treatment of its staff, workers, potential staff/workers and users of its services regardless of race, colour, nationality, ethnic or national origins, religion or belief, age, disability, gender, gender reassignment, sexual orientation, social, marital or civil status</w:t>
      </w:r>
      <w:r w:rsidR="009E54D3">
        <w:rPr>
          <w:rFonts w:ascii="Arial" w:hAnsi="Arial" w:cs="Arial"/>
        </w:rPr>
        <w:t>, pregnancy or maternity reasons, having responsibility for dependants, Trade Union involvement</w:t>
      </w:r>
      <w:r>
        <w:rPr>
          <w:rFonts w:ascii="Arial" w:hAnsi="Arial" w:cs="Arial"/>
        </w:rPr>
        <w:t xml:space="preserve"> </w:t>
      </w:r>
      <w:r w:rsidR="009E54D3">
        <w:rPr>
          <w:rFonts w:ascii="Arial" w:hAnsi="Arial" w:cs="Arial"/>
        </w:rPr>
        <w:t xml:space="preserve">or any other grounds irrelevant to the role or service in question. Similarly, the </w:t>
      </w:r>
      <w:r w:rsidR="009E54D3">
        <w:rPr>
          <w:rFonts w:ascii="Arial" w:hAnsi="Arial" w:cs="Arial"/>
          <w:i/>
        </w:rPr>
        <w:t xml:space="preserve">school </w:t>
      </w:r>
      <w:r w:rsidR="009E54D3">
        <w:rPr>
          <w:rFonts w:ascii="Arial" w:hAnsi="Arial" w:cs="Arial"/>
        </w:rPr>
        <w:t>will not treat unfairly</w:t>
      </w:r>
      <w:r w:rsidR="00602056">
        <w:rPr>
          <w:rFonts w:ascii="Arial" w:hAnsi="Arial" w:cs="Arial"/>
        </w:rPr>
        <w:t>,</w:t>
      </w:r>
      <w:r w:rsidR="009E54D3">
        <w:rPr>
          <w:rFonts w:ascii="Arial" w:hAnsi="Arial" w:cs="Arial"/>
        </w:rPr>
        <w:t xml:space="preserve"> or discriminate against</w:t>
      </w:r>
      <w:r w:rsidR="00602056">
        <w:rPr>
          <w:rFonts w:ascii="Arial" w:hAnsi="Arial" w:cs="Arial"/>
        </w:rPr>
        <w:t>,</w:t>
      </w:r>
      <w:r w:rsidR="009E54D3">
        <w:rPr>
          <w:rFonts w:ascii="Arial" w:hAnsi="Arial" w:cs="Arial"/>
        </w:rPr>
        <w:t xml:space="preserve"> anyone with a criminal record.</w:t>
      </w:r>
    </w:p>
    <w:p w:rsidR="009E54D3" w:rsidRPr="009E54D3" w:rsidRDefault="009E54D3" w:rsidP="009E54D3">
      <w:pPr>
        <w:pStyle w:val="ListParagraph"/>
        <w:rPr>
          <w:rFonts w:ascii="Arial" w:hAnsi="Arial" w:cs="Arial"/>
        </w:rPr>
      </w:pPr>
    </w:p>
    <w:p w:rsidR="009A3000" w:rsidRPr="009A3000" w:rsidRDefault="009E54D3" w:rsidP="009A30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A3000">
        <w:rPr>
          <w:rFonts w:ascii="Arial" w:hAnsi="Arial" w:cs="Arial"/>
        </w:rPr>
        <w:t>Having a criminal record does not mean that an individual will automatically be prevented from obtaining employment or working in th</w:t>
      </w:r>
      <w:r w:rsidR="00602056">
        <w:rPr>
          <w:rFonts w:ascii="Arial" w:hAnsi="Arial" w:cs="Arial"/>
        </w:rPr>
        <w:t>is</w:t>
      </w:r>
      <w:r w:rsidRPr="009A3000">
        <w:rPr>
          <w:rFonts w:ascii="Arial" w:hAnsi="Arial" w:cs="Arial"/>
        </w:rPr>
        <w:t xml:space="preserve"> </w:t>
      </w:r>
      <w:r w:rsidRPr="009A3000">
        <w:rPr>
          <w:rFonts w:ascii="Arial" w:hAnsi="Arial" w:cs="Arial"/>
          <w:i/>
        </w:rPr>
        <w:t>school.</w:t>
      </w:r>
      <w:r w:rsidRPr="009A3000">
        <w:rPr>
          <w:rFonts w:ascii="Arial" w:hAnsi="Arial" w:cs="Arial"/>
        </w:rPr>
        <w:t xml:space="preserve">   This will depend on the offence(s) and relevance to the post or work to be undertaken. An individual’s criminal record will be considered </w:t>
      </w:r>
      <w:r w:rsidR="009A3000" w:rsidRPr="009A3000">
        <w:rPr>
          <w:rFonts w:ascii="Arial" w:hAnsi="Arial" w:cs="Arial"/>
        </w:rPr>
        <w:t>in terms of: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nature and seriousness of the offence(s) and relevance to the role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How long ago it occurred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If it was a ‘one-off’ or part of a history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circumstances of it being committed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Changes in the individual’s personal circumstances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Country of conviction</w:t>
      </w:r>
    </w:p>
    <w:p w:rsidR="009A3000" w:rsidRDefault="009A3000" w:rsidP="009A3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Decriminalisation, e.g. legalising cannabis</w:t>
      </w:r>
    </w:p>
    <w:p w:rsidR="009E54D3" w:rsidRPr="009A3000" w:rsidRDefault="009A3000" w:rsidP="009E54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Explanation offered by the individual and r</w:t>
      </w:r>
      <w:r w:rsidRPr="009A3000">
        <w:rPr>
          <w:rFonts w:ascii="Arial" w:hAnsi="Arial" w:cs="Arial"/>
        </w:rPr>
        <w:t>emorse.</w:t>
      </w:r>
    </w:p>
    <w:p w:rsidR="009E54D3" w:rsidRPr="009A3000" w:rsidRDefault="009E54D3" w:rsidP="009A300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F0224" w:rsidRDefault="009A3000" w:rsidP="00320D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Notwithstanding the above, there are certain offences that </w:t>
      </w:r>
      <w:r w:rsidR="00BF0224">
        <w:rPr>
          <w:rFonts w:ascii="Arial" w:hAnsi="Arial" w:cs="Arial"/>
        </w:rPr>
        <w:t xml:space="preserve">will, or are likely to, automatically </w:t>
      </w:r>
      <w:proofErr w:type="gramStart"/>
      <w:r w:rsidR="00BF0224">
        <w:rPr>
          <w:rFonts w:ascii="Arial" w:hAnsi="Arial" w:cs="Arial"/>
        </w:rPr>
        <w:t>prevent</w:t>
      </w:r>
      <w:proofErr w:type="gramEnd"/>
      <w:r w:rsidR="00BF0224">
        <w:rPr>
          <w:rFonts w:ascii="Arial" w:hAnsi="Arial" w:cs="Arial"/>
        </w:rPr>
        <w:t xml:space="preserve"> an individual receiving a confirmed offer of a role within the </w:t>
      </w:r>
      <w:r w:rsidR="00BF0224">
        <w:rPr>
          <w:rFonts w:ascii="Arial" w:hAnsi="Arial" w:cs="Arial"/>
          <w:i/>
        </w:rPr>
        <w:t xml:space="preserve">school. </w:t>
      </w:r>
      <w:r w:rsidR="00BF0224" w:rsidRPr="00BF0224">
        <w:rPr>
          <w:rFonts w:ascii="Arial" w:hAnsi="Arial" w:cs="Arial"/>
        </w:rPr>
        <w:t>These include</w:t>
      </w:r>
      <w:r w:rsidR="00BF0224">
        <w:rPr>
          <w:rFonts w:ascii="Arial" w:hAnsi="Arial" w:cs="Arial"/>
        </w:rPr>
        <w:t xml:space="preserve"> serious offences relating to sexual and other violent crimes and safeguarding/child protection matters.</w:t>
      </w:r>
    </w:p>
    <w:p w:rsidR="00BF0224" w:rsidRDefault="00BF0224" w:rsidP="00BF0224">
      <w:pPr>
        <w:spacing w:after="0" w:line="240" w:lineRule="auto"/>
        <w:jc w:val="both"/>
        <w:rPr>
          <w:rFonts w:ascii="Arial" w:hAnsi="Arial" w:cs="Arial"/>
        </w:rPr>
      </w:pPr>
    </w:p>
    <w:p w:rsidR="00BF0224" w:rsidRDefault="00BF0224" w:rsidP="00BF0224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it is considered appropriate, applicants will be invited to discuss </w:t>
      </w:r>
      <w:r w:rsidR="00820286">
        <w:rPr>
          <w:rFonts w:ascii="Arial" w:hAnsi="Arial" w:cs="Arial"/>
        </w:rPr>
        <w:t xml:space="preserve">Disclosure, or </w:t>
      </w:r>
      <w:r>
        <w:rPr>
          <w:rFonts w:ascii="Arial" w:hAnsi="Arial" w:cs="Arial"/>
        </w:rPr>
        <w:t>criminal record</w:t>
      </w:r>
      <w:r w:rsidR="008202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information before a </w:t>
      </w:r>
      <w:r w:rsidR="00820286">
        <w:rPr>
          <w:rFonts w:ascii="Arial" w:hAnsi="Arial" w:cs="Arial"/>
        </w:rPr>
        <w:t xml:space="preserve">conditional offer is withdrawn or a </w:t>
      </w:r>
      <w:r>
        <w:rPr>
          <w:rFonts w:ascii="Arial" w:hAnsi="Arial" w:cs="Arial"/>
        </w:rPr>
        <w:t>final recruitment decision is made.</w:t>
      </w:r>
    </w:p>
    <w:p w:rsidR="005F4390" w:rsidRDefault="005F4390" w:rsidP="005F4390">
      <w:pPr>
        <w:spacing w:after="0" w:line="240" w:lineRule="auto"/>
        <w:jc w:val="both"/>
        <w:rPr>
          <w:rFonts w:ascii="Arial" w:hAnsi="Arial" w:cs="Arial"/>
        </w:rPr>
      </w:pPr>
    </w:p>
    <w:p w:rsidR="005F4390" w:rsidRPr="005F4390" w:rsidRDefault="005F4390" w:rsidP="005F4390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than in exceptional circumstances, no potential employee/worker will be permitted to commence work until a satisfactory DBS check has been received. If, in exceptional circumstances, an individual does commence work prior to the full check being received, s/he will be supervised at all times. However, in no circumstances will any individual in Regulated Activity be permitted to start until a satisfactory check of the Barred List part of the check has been undertaken.  </w:t>
      </w:r>
    </w:p>
    <w:p w:rsidR="00BF0224" w:rsidRDefault="00BF0224" w:rsidP="00BF0224">
      <w:pPr>
        <w:spacing w:after="0" w:line="240" w:lineRule="auto"/>
        <w:jc w:val="both"/>
        <w:rPr>
          <w:rFonts w:ascii="Arial" w:hAnsi="Arial" w:cs="Arial"/>
        </w:rPr>
      </w:pPr>
    </w:p>
    <w:p w:rsidR="00320DBD" w:rsidRDefault="00820286" w:rsidP="00BF0224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circumstances where an existing employee/worker commits an offence, his/her continuation in the role will be considered </w:t>
      </w:r>
      <w:r w:rsidR="00BA6518">
        <w:rPr>
          <w:rFonts w:ascii="Arial" w:hAnsi="Arial" w:cs="Arial"/>
        </w:rPr>
        <w:t xml:space="preserve">fairly and objectively </w:t>
      </w:r>
      <w:r>
        <w:rPr>
          <w:rFonts w:ascii="Arial" w:hAnsi="Arial" w:cs="Arial"/>
        </w:rPr>
        <w:t>on its merits, including relevance</w:t>
      </w:r>
      <w:r w:rsidR="00FD5391">
        <w:rPr>
          <w:rFonts w:ascii="Arial" w:hAnsi="Arial" w:cs="Arial"/>
        </w:rPr>
        <w:t xml:space="preserve"> of the offence</w:t>
      </w:r>
      <w:r>
        <w:rPr>
          <w:rFonts w:ascii="Arial" w:hAnsi="Arial" w:cs="Arial"/>
        </w:rPr>
        <w:t xml:space="preserve"> and by undertaking an assessment of the risk involved. </w:t>
      </w:r>
    </w:p>
    <w:p w:rsidR="00282F3D" w:rsidRPr="00282F3D" w:rsidRDefault="00282F3D" w:rsidP="00282F3D">
      <w:pPr>
        <w:pStyle w:val="ListParagraph"/>
        <w:rPr>
          <w:rFonts w:ascii="Arial" w:hAnsi="Arial" w:cs="Arial"/>
        </w:rPr>
      </w:pPr>
    </w:p>
    <w:p w:rsidR="00282F3D" w:rsidRDefault="00282F3D" w:rsidP="00282F3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 xml:space="preserve">school </w:t>
      </w:r>
      <w:r>
        <w:rPr>
          <w:rFonts w:ascii="Arial" w:hAnsi="Arial" w:cs="Arial"/>
        </w:rPr>
        <w:t xml:space="preserve">adheres to the principles of the Disclosure and Barring Service Code of Practice. Applicants are made aware of the Code, which can be located at </w:t>
      </w:r>
      <w:hyperlink r:id="rId7" w:history="1">
        <w:r w:rsidRPr="00C957AF">
          <w:rPr>
            <w:rStyle w:val="Hyperlink"/>
            <w:rFonts w:ascii="Arial" w:hAnsi="Arial" w:cs="Arial"/>
          </w:rPr>
          <w:t>https://www.gov.uk/government/uploads/system/uploads/attachment_data/file/474742/Code_of_Practice_for_Disclosure_and_Barring_Service_Nov_15.pdf</w:t>
        </w:r>
      </w:hyperlink>
      <w:r>
        <w:rPr>
          <w:rFonts w:ascii="Arial" w:hAnsi="Arial" w:cs="Arial"/>
        </w:rPr>
        <w:t xml:space="preserve"> </w:t>
      </w:r>
    </w:p>
    <w:p w:rsidR="004306B2" w:rsidRPr="004306B2" w:rsidRDefault="004306B2" w:rsidP="004306B2">
      <w:pPr>
        <w:pStyle w:val="ListParagraph"/>
        <w:rPr>
          <w:rFonts w:ascii="Arial" w:hAnsi="Arial" w:cs="Arial"/>
        </w:rPr>
      </w:pPr>
    </w:p>
    <w:p w:rsidR="000E63C6" w:rsidRDefault="000E63C6" w:rsidP="000E63C6">
      <w:pPr>
        <w:spacing w:after="0" w:line="240" w:lineRule="auto"/>
        <w:jc w:val="both"/>
        <w:rPr>
          <w:rFonts w:ascii="Arial" w:hAnsi="Arial" w:cs="Arial"/>
        </w:rPr>
      </w:pPr>
    </w:p>
    <w:p w:rsidR="000E63C6" w:rsidRDefault="004306B2" w:rsidP="004306B2">
      <w:pPr>
        <w:spacing w:after="0" w:line="240" w:lineRule="auto"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B8A992B" wp14:editId="7F22E1F5">
            <wp:extent cx="1074545" cy="532298"/>
            <wp:effectExtent l="0" t="0" r="0" b="1270"/>
            <wp:docPr id="2" name="Picture 2" descr="illustrator_cmyk_b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or_cmyk_bea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32" cy="53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3C6" w:rsidRDefault="000E63C6" w:rsidP="000E63C6">
      <w:pPr>
        <w:spacing w:after="0" w:line="240" w:lineRule="auto"/>
        <w:jc w:val="both"/>
        <w:rPr>
          <w:rFonts w:ascii="Arial" w:hAnsi="Arial" w:cs="Arial"/>
        </w:rPr>
      </w:pPr>
    </w:p>
    <w:p w:rsidR="000E63C6" w:rsidRPr="000E63C6" w:rsidRDefault="000E63C6" w:rsidP="000E63C6">
      <w:pPr>
        <w:spacing w:after="0" w:line="240" w:lineRule="auto"/>
        <w:jc w:val="both"/>
        <w:rPr>
          <w:rFonts w:ascii="Arial" w:hAnsi="Arial" w:cs="Arial"/>
        </w:rPr>
      </w:pPr>
      <w:r w:rsidRPr="000E63C6">
        <w:rPr>
          <w:rFonts w:ascii="Arial" w:hAnsi="Arial" w:cs="Arial"/>
          <w:b/>
          <w:sz w:val="18"/>
          <w:szCs w:val="18"/>
          <w:u w:val="single"/>
        </w:rPr>
        <w:t>November 2017</w:t>
      </w:r>
    </w:p>
    <w:sectPr w:rsidR="000E63C6" w:rsidRPr="000E63C6" w:rsidSect="004306B2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5E"/>
    <w:multiLevelType w:val="hybridMultilevel"/>
    <w:tmpl w:val="FB6AD5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C8713D"/>
    <w:multiLevelType w:val="hybridMultilevel"/>
    <w:tmpl w:val="92F0AF9A"/>
    <w:lvl w:ilvl="0" w:tplc="EA1856E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0D6C1C"/>
    <w:multiLevelType w:val="hybridMultilevel"/>
    <w:tmpl w:val="660C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34"/>
    <w:rsid w:val="000E63C6"/>
    <w:rsid w:val="00211434"/>
    <w:rsid w:val="00233B8B"/>
    <w:rsid w:val="00282F3D"/>
    <w:rsid w:val="00304646"/>
    <w:rsid w:val="00320DBD"/>
    <w:rsid w:val="00327F85"/>
    <w:rsid w:val="003B4321"/>
    <w:rsid w:val="004306B2"/>
    <w:rsid w:val="00563D59"/>
    <w:rsid w:val="005F4390"/>
    <w:rsid w:val="005F782E"/>
    <w:rsid w:val="00602056"/>
    <w:rsid w:val="00646DBC"/>
    <w:rsid w:val="00680447"/>
    <w:rsid w:val="00766281"/>
    <w:rsid w:val="00796D23"/>
    <w:rsid w:val="007A5469"/>
    <w:rsid w:val="00820286"/>
    <w:rsid w:val="008B5512"/>
    <w:rsid w:val="008C1E1D"/>
    <w:rsid w:val="00981D25"/>
    <w:rsid w:val="009A3000"/>
    <w:rsid w:val="009E54D3"/>
    <w:rsid w:val="00A312EE"/>
    <w:rsid w:val="00BA6518"/>
    <w:rsid w:val="00BC2D8C"/>
    <w:rsid w:val="00BE185B"/>
    <w:rsid w:val="00BF0224"/>
    <w:rsid w:val="00C65CAB"/>
    <w:rsid w:val="00DA63EE"/>
    <w:rsid w:val="00DB7BED"/>
    <w:rsid w:val="00E205C0"/>
    <w:rsid w:val="00E946C1"/>
    <w:rsid w:val="00EA7F3F"/>
    <w:rsid w:val="00EC5EAF"/>
    <w:rsid w:val="00FD5391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FF0000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34"/>
    <w:pPr>
      <w:spacing w:after="200" w:line="276" w:lineRule="auto"/>
      <w:jc w:val="left"/>
    </w:pPr>
    <w:rPr>
      <w:rFonts w:ascii="Calibri" w:eastAsia="Calibri" w:hAnsi="Calibri" w:cs="Times New Roman"/>
      <w:color w:val="auto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34"/>
    <w:pPr>
      <w:spacing w:after="0" w:line="240" w:lineRule="auto"/>
      <w:jc w:val="both"/>
    </w:pPr>
    <w:rPr>
      <w:rFonts w:ascii="Tahoma" w:eastAsiaTheme="minorHAnsi" w:hAnsi="Tahoma" w:cs="Tahoma"/>
      <w:color w:val="FF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3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20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FF0000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34"/>
    <w:pPr>
      <w:spacing w:after="200" w:line="276" w:lineRule="auto"/>
      <w:jc w:val="left"/>
    </w:pPr>
    <w:rPr>
      <w:rFonts w:ascii="Calibri" w:eastAsia="Calibri" w:hAnsi="Calibri" w:cs="Times New Roman"/>
      <w:color w:val="auto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34"/>
    <w:pPr>
      <w:spacing w:after="0" w:line="240" w:lineRule="auto"/>
      <w:jc w:val="both"/>
    </w:pPr>
    <w:rPr>
      <w:rFonts w:ascii="Tahoma" w:eastAsiaTheme="minorHAnsi" w:hAnsi="Tahoma" w:cs="Tahoma"/>
      <w:color w:val="FF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3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20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gov.uk/government/uploads/system/uploads/attachment_data/file/474742/Code_of_Practice_for_Disclosure_and_Barring_Service_Nov_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Enfield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Banks</dc:creator>
  <cp:lastModifiedBy>Justine Marlowe</cp:lastModifiedBy>
  <cp:revision>2</cp:revision>
  <dcterms:created xsi:type="dcterms:W3CDTF">2019-11-26T09:30:00Z</dcterms:created>
  <dcterms:modified xsi:type="dcterms:W3CDTF">2019-11-26T09:30:00Z</dcterms:modified>
</cp:coreProperties>
</file>