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entury Gothic" w:cs="Century Gothic" w:eastAsia="Century Gothic" w:hAnsi="Century Gothic"/>
          <w:b w:val="1"/>
          <w:bCs w:val="1"/>
          <w:color w:val="7030a0"/>
          <w:sz w:val="52"/>
          <w:szCs w:val="52"/>
        </w:rPr>
      </w:pPr>
      <w:r w:rsidDel="00000000" w:rsidR="00000000" w:rsidRPr="00000000">
        <w:rPr>
          <w:rFonts w:ascii="Century Gothic" w:cs="Century Gothic" w:eastAsia="Century Gothic" w:hAnsi="Century Gothic"/>
          <w:b w:val="1"/>
          <w:bCs w:val="1"/>
          <w:color w:val="7030a0"/>
          <w:sz w:val="52"/>
          <w:szCs w:val="52"/>
          <w:rtl w:val="0"/>
        </w:rPr>
        <w:t xml:space="preserve">Greenford High School</w:t>
      </w:r>
      <w:r w:rsidDel="00000000" w:rsidR="00000000" w:rsidRPr="00000000">
        <w:drawing>
          <wp:anchor allowOverlap="1" behindDoc="0" distB="0" distT="0" distL="114300" distR="114300" hidden="0" layoutInCell="1" locked="0" relativeHeight="0" simplePos="0">
            <wp:simplePos x="0" y="0"/>
            <wp:positionH relativeFrom="column">
              <wp:posOffset>5191125</wp:posOffset>
            </wp:positionH>
            <wp:positionV relativeFrom="paragraph">
              <wp:posOffset>-368292</wp:posOffset>
            </wp:positionV>
            <wp:extent cx="1285875" cy="1143000"/>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85875" cy="1143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-695318</wp:posOffset>
            </wp:positionH>
            <wp:positionV relativeFrom="paragraph">
              <wp:posOffset>-361942</wp:posOffset>
            </wp:positionV>
            <wp:extent cx="1285875" cy="904875"/>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85875" cy="904875"/>
                    </a:xfrm>
                    <a:prstGeom prst="rect"/>
                    <a:ln/>
                  </pic:spPr>
                </pic:pic>
              </a:graphicData>
            </a:graphic>
          </wp:anchor>
        </w:drawing>
      </w:r>
    </w:p>
    <w:p w:rsidR="00000000" w:rsidDel="00000000" w:rsidP="00000000" w:rsidRDefault="00000000" w:rsidRPr="00000000" w14:paraId="00000002">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Lady Margaret Road, Southall, Middlesex, UB1 2GU</w:t>
      </w:r>
    </w:p>
    <w:p w:rsidR="00000000" w:rsidDel="00000000" w:rsidP="00000000" w:rsidRDefault="00000000" w:rsidRPr="00000000" w14:paraId="00000003">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Headteacher: Mrs M. Pye B.A. (Hons) M.A. Ed</w:t>
      </w:r>
    </w:p>
    <w:p w:rsidR="00000000" w:rsidDel="00000000" w:rsidP="00000000" w:rsidRDefault="00000000" w:rsidRPr="00000000" w14:paraId="00000004">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NOR: 2023; 505 Post 16</w:t>
      </w:r>
    </w:p>
    <w:p w:rsidR="00000000" w:rsidDel="00000000" w:rsidP="00000000" w:rsidRDefault="00000000" w:rsidRPr="00000000" w14:paraId="00000005">
      <w:pPr>
        <w:spacing w:after="0" w:line="240" w:lineRule="auto"/>
        <w:jc w:val="center"/>
        <w:rPr>
          <w:rFonts w:ascii="Century Gothic" w:cs="Century Gothic" w:eastAsia="Century Gothic" w:hAnsi="Century Gothic"/>
          <w:b w:val="1"/>
          <w:bCs w:val="1"/>
          <w:sz w:val="36"/>
          <w:szCs w:val="36"/>
        </w:rPr>
      </w:pPr>
      <w:r w:rsidDel="00000000" w:rsidR="00000000" w:rsidRPr="00000000">
        <w:rPr>
          <w:rFonts w:ascii="Century Gothic" w:cs="Century Gothic" w:eastAsia="Century Gothic" w:hAnsi="Century Gothic"/>
          <w:b w:val="1"/>
          <w:bCs w:val="1"/>
          <w:sz w:val="36"/>
          <w:szCs w:val="36"/>
          <w:rtl w:val="0"/>
        </w:rPr>
        <w:t xml:space="preserve">Teacher of Media &amp; English</w:t>
      </w:r>
    </w:p>
    <w:p w:rsidR="00000000" w:rsidDel="00000000" w:rsidP="00000000" w:rsidRDefault="00000000" w:rsidRPr="00000000" w14:paraId="00000006">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Starting Date:</w:t>
      </w:r>
      <w:r w:rsidDel="00000000" w:rsidR="00000000" w:rsidRPr="00000000">
        <w:rPr>
          <w:rFonts w:ascii="Century Gothic" w:cs="Century Gothic" w:eastAsia="Century Gothic" w:hAnsi="Century Gothic"/>
          <w:sz w:val="24"/>
          <w:szCs w:val="24"/>
          <w:rtl w:val="0"/>
        </w:rPr>
        <w:t xml:space="preserve"> 1st September 2026</w:t>
      </w:r>
    </w:p>
    <w:p w:rsidR="00000000" w:rsidDel="00000000" w:rsidP="00000000" w:rsidRDefault="00000000" w:rsidRPr="00000000" w14:paraId="00000007">
      <w:pPr>
        <w:spacing w:after="0" w:line="240" w:lineRule="auto"/>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Salary:</w:t>
      </w:r>
      <w:r w:rsidDel="00000000" w:rsidR="00000000" w:rsidRPr="00000000">
        <w:rPr>
          <w:rFonts w:ascii="Century Gothic" w:cs="Century Gothic" w:eastAsia="Century Gothic" w:hAnsi="Century Gothic"/>
          <w:sz w:val="24"/>
          <w:szCs w:val="24"/>
          <w:rtl w:val="0"/>
        </w:rPr>
        <w:t xml:space="preserve"> M1 - U3 - Inner London </w:t>
      </w:r>
      <w:r w:rsidDel="00000000" w:rsidR="00000000" w:rsidRPr="00000000">
        <w:rPr>
          <w:rFonts w:ascii="Century Gothic" w:cs="Century Gothic" w:eastAsia="Century Gothic" w:hAnsi="Century Gothic"/>
          <w:b w:val="1"/>
          <w:bCs w:val="1"/>
          <w:sz w:val="24"/>
          <w:szCs w:val="24"/>
          <w:rtl w:val="0"/>
        </w:rPr>
        <w:t xml:space="preserve">(£40,317-£62,496)</w:t>
      </w:r>
    </w:p>
    <w:p w:rsidR="00000000" w:rsidDel="00000000" w:rsidP="00000000" w:rsidRDefault="00000000" w:rsidRPr="00000000" w14:paraId="00000009">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Closing Date:</w:t>
      </w:r>
      <w:r w:rsidDel="00000000" w:rsidR="00000000" w:rsidRPr="00000000">
        <w:rPr>
          <w:rFonts w:ascii="Century Gothic" w:cs="Century Gothic" w:eastAsia="Century Gothic" w:hAnsi="Century Gothic"/>
          <w:sz w:val="24"/>
          <w:szCs w:val="24"/>
          <w:rtl w:val="0"/>
        </w:rPr>
        <w:t xml:space="preserve"> 9am on Monday 11</w:t>
      </w:r>
      <w:r w:rsidDel="00000000" w:rsidR="00000000" w:rsidRPr="00000000">
        <w:rPr>
          <w:rFonts w:ascii="Century Gothic" w:cs="Century Gothic" w:eastAsia="Century Gothic" w:hAnsi="Century Gothic"/>
          <w:sz w:val="24"/>
          <w:szCs w:val="24"/>
          <w:vertAlign w:val="superscript"/>
          <w:rtl w:val="0"/>
        </w:rPr>
        <w:t xml:space="preserve">th</w:t>
      </w:r>
      <w:r w:rsidDel="00000000" w:rsidR="00000000" w:rsidRPr="00000000">
        <w:rPr>
          <w:rFonts w:ascii="Century Gothic" w:cs="Century Gothic" w:eastAsia="Century Gothic" w:hAnsi="Century Gothic"/>
          <w:sz w:val="24"/>
          <w:szCs w:val="24"/>
          <w:rtl w:val="0"/>
        </w:rPr>
        <w:t xml:space="preserve"> May 2026</w:t>
      </w:r>
    </w:p>
    <w:p w:rsidR="00000000" w:rsidDel="00000000" w:rsidP="00000000" w:rsidRDefault="00000000" w:rsidRPr="00000000" w14:paraId="0000000A">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w:t>
      </w:r>
      <w:r w:rsidDel="00000000" w:rsidR="00000000" w:rsidRPr="00000000">
        <w:rPr>
          <w:rFonts w:ascii="Century Gothic" w:cs="Century Gothic" w:eastAsia="Century Gothic" w:hAnsi="Century Gothic"/>
          <w:sz w:val="24"/>
          <w:szCs w:val="24"/>
          <w:vertAlign w:val="superscript"/>
          <w:rtl w:val="0"/>
        </w:rPr>
        <w:t xml:space="preserve">st</w:t>
      </w:r>
      <w:r w:rsidDel="00000000" w:rsidR="00000000" w:rsidRPr="00000000">
        <w:rPr>
          <w:rFonts w:ascii="Century Gothic" w:cs="Century Gothic" w:eastAsia="Century Gothic" w:hAnsi="Century Gothic"/>
          <w:sz w:val="24"/>
          <w:szCs w:val="24"/>
          <w:rtl w:val="0"/>
        </w:rPr>
        <w:t xml:space="preserve"> July start may be possible for ECTs'</w:t>
      </w:r>
    </w:p>
    <w:p w:rsidR="00000000" w:rsidDel="00000000" w:rsidP="00000000" w:rsidRDefault="00000000" w:rsidRPr="00000000" w14:paraId="0000000B">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i w:val="1"/>
          <w:iCs w:val="1"/>
        </w:rPr>
      </w:pPr>
      <w:r w:rsidDel="00000000" w:rsidR="00000000" w:rsidRPr="00000000">
        <w:rPr>
          <w:i w:val="1"/>
          <w:iCs w:val="1"/>
          <w:rtl w:val="0"/>
        </w:rPr>
        <w:t xml:space="preserve">We reserve the right to close this vacancy early and without notice as applications will be shortlisted as they are received.</w:t>
      </w:r>
    </w:p>
    <w:p w:rsidR="00000000" w:rsidDel="00000000" w:rsidP="00000000" w:rsidRDefault="00000000" w:rsidRPr="00000000" w14:paraId="0000000D">
      <w:pPr>
        <w:spacing w:after="0" w:line="240" w:lineRule="auto"/>
        <w:jc w:val="center"/>
        <w:rPr>
          <w:i w:val="1"/>
          <w:iCs w:val="1"/>
          <w:u w:val="single"/>
        </w:rPr>
      </w:pPr>
      <w:r w:rsidDel="00000000" w:rsidR="00000000" w:rsidRPr="00000000">
        <w:rPr>
          <w:i w:val="1"/>
          <w:iCs w:val="1"/>
          <w:u w:val="single"/>
          <w:rtl w:val="0"/>
        </w:rPr>
        <w:t xml:space="preserve">Please apply as soon as possible to ensure your application is considered.</w:t>
      </w:r>
    </w:p>
    <w:p w:rsidR="00000000" w:rsidDel="00000000" w:rsidP="00000000" w:rsidRDefault="00000000" w:rsidRPr="00000000" w14:paraId="0000000E">
      <w:pPr>
        <w:spacing w:after="0" w:line="240" w:lineRule="auto"/>
        <w:jc w:val="center"/>
        <w:rPr>
          <w:b w:val="1"/>
          <w:bCs w:val="1"/>
        </w:rPr>
      </w:pPr>
      <w:r w:rsidDel="00000000" w:rsidR="00000000" w:rsidRPr="00000000">
        <w:rPr>
          <w:rtl w:val="0"/>
        </w:rPr>
      </w:r>
    </w:p>
    <w:p w:rsidR="00000000" w:rsidDel="00000000" w:rsidP="00000000" w:rsidRDefault="00000000" w:rsidRPr="00000000" w14:paraId="0000000F">
      <w:pPr>
        <w:spacing w:after="0" w:line="240" w:lineRule="auto"/>
        <w:jc w:val="center"/>
        <w:rPr>
          <w:b w:val="1"/>
          <w:bCs w:val="1"/>
        </w:rPr>
      </w:pPr>
      <w:r w:rsidDel="00000000" w:rsidR="00000000" w:rsidRPr="00000000">
        <w:rPr>
          <w:b w:val="1"/>
          <w:bCs w:val="1"/>
          <w:rtl w:val="0"/>
        </w:rPr>
        <w:t xml:space="preserve">Do you want to join a dynamic, multi-cultural and friendly school where staff development is a priority and where you will be valued and appreciated? </w:t>
      </w:r>
    </w:p>
    <w:p w:rsidR="00000000" w:rsidDel="00000000" w:rsidP="00000000" w:rsidRDefault="00000000" w:rsidRPr="00000000" w14:paraId="00000010">
      <w:pPr>
        <w:spacing w:after="0" w:line="240" w:lineRule="auto"/>
        <w:jc w:val="center"/>
        <w:rPr>
          <w:b w:val="1"/>
          <w:bCs w:val="1"/>
        </w:rPr>
      </w:pPr>
      <w:r w:rsidDel="00000000" w:rsidR="00000000" w:rsidRPr="00000000">
        <w:rPr>
          <w:rtl w:val="0"/>
        </w:rPr>
      </w:r>
    </w:p>
    <w:p w:rsidR="00000000" w:rsidDel="00000000" w:rsidP="00000000" w:rsidRDefault="00000000" w:rsidRPr="00000000" w14:paraId="00000011">
      <w:pPr>
        <w:spacing w:after="0" w:line="240" w:lineRule="auto"/>
        <w:jc w:val="center"/>
        <w:rPr>
          <w:b w:val="1"/>
          <w:bCs w:val="1"/>
        </w:rPr>
      </w:pPr>
      <w:r w:rsidDel="00000000" w:rsidR="00000000" w:rsidRPr="00000000">
        <w:rPr>
          <w:b w:val="1"/>
          <w:bCs w:val="1"/>
          <w:rtl w:val="0"/>
        </w:rPr>
        <w:t xml:space="preserve">Greenford High School is an inclusive, supportive and high achieving school looking for outstanding staff who have a passion for supporting students to succeed to join us</w:t>
      </w:r>
    </w:p>
    <w:p w:rsidR="00000000" w:rsidDel="00000000" w:rsidP="00000000" w:rsidRDefault="00000000" w:rsidRPr="00000000" w14:paraId="00000012">
      <w:pPr>
        <w:spacing w:after="0" w:line="240" w:lineRule="auto"/>
        <w:jc w:val="center"/>
        <w:rPr>
          <w:b w:val="1"/>
          <w:bCs w:val="1"/>
        </w:rPr>
      </w:pPr>
      <w:r w:rsidDel="00000000" w:rsidR="00000000" w:rsidRPr="00000000">
        <w:rPr>
          <w:rtl w:val="0"/>
        </w:rPr>
      </w:r>
    </w:p>
    <w:p w:rsidR="00000000" w:rsidDel="00000000" w:rsidP="00000000" w:rsidRDefault="00000000" w:rsidRPr="00000000" w14:paraId="00000013">
      <w:pPr>
        <w:spacing w:after="0" w:line="240" w:lineRule="auto"/>
        <w:jc w:val="both"/>
        <w:rPr/>
      </w:pPr>
      <w:r w:rsidDel="00000000" w:rsidR="00000000" w:rsidRPr="00000000">
        <w:rPr>
          <w:rtl w:val="0"/>
        </w:rPr>
        <w:t xml:space="preserve">We seek an experienced and proactive individual who is keen to guide and support students to achieve their highest achievable potential. The successful candidate will teach Media and English, creating lessons that meet the needs of the individual needs of the students. We are proud to have an exceptionally well established, resourced and successful Media Studies department and you would be joining a strong, enthusiastic team of teachers alongside our Media Technician. Our English department also delivers excellent results.</w:t>
      </w:r>
    </w:p>
    <w:p w:rsidR="00000000" w:rsidDel="00000000" w:rsidP="00000000" w:rsidRDefault="00000000" w:rsidRPr="00000000" w14:paraId="00000014">
      <w:pPr>
        <w:spacing w:after="0" w:line="240" w:lineRule="auto"/>
        <w:jc w:val="both"/>
        <w:rPr/>
      </w:pPr>
      <w:r w:rsidDel="00000000" w:rsidR="00000000" w:rsidRPr="00000000">
        <w:rPr>
          <w:rtl w:val="0"/>
        </w:rPr>
      </w:r>
    </w:p>
    <w:p w:rsidR="00000000" w:rsidDel="00000000" w:rsidP="00000000" w:rsidRDefault="00000000" w:rsidRPr="00000000" w14:paraId="00000015">
      <w:pPr>
        <w:spacing w:after="0" w:line="240" w:lineRule="auto"/>
        <w:jc w:val="both"/>
        <w:rPr/>
      </w:pPr>
      <w:r w:rsidDel="00000000" w:rsidR="00000000" w:rsidRPr="00000000">
        <w:rPr>
          <w:rtl w:val="0"/>
        </w:rPr>
        <w:t xml:space="preserve">As part of the GHS community, you will benefit from our outstanding record of learning, development and promotion opportunities, as well as the high value we place on our staff achieving success in their career. </w:t>
      </w:r>
    </w:p>
    <w:p w:rsidR="00000000" w:rsidDel="00000000" w:rsidP="00000000" w:rsidRDefault="00000000" w:rsidRPr="00000000" w14:paraId="00000016">
      <w:pPr>
        <w:spacing w:after="0" w:line="240" w:lineRule="auto"/>
        <w:jc w:val="center"/>
        <w:rPr>
          <w:b w:val="1"/>
          <w:bCs w:val="1"/>
        </w:rPr>
      </w:pPr>
      <w:r w:rsidDel="00000000" w:rsidR="00000000" w:rsidRPr="00000000">
        <w:rPr>
          <w:rtl w:val="0"/>
        </w:rPr>
      </w:r>
    </w:p>
    <w:p w:rsidR="00000000" w:rsidDel="00000000" w:rsidP="00000000" w:rsidRDefault="00000000" w:rsidRPr="00000000" w14:paraId="00000017">
      <w:pPr>
        <w:spacing w:after="0" w:line="240" w:lineRule="auto"/>
        <w:jc w:val="both"/>
        <w:rPr>
          <w:b w:val="1"/>
          <w:bCs w:val="1"/>
        </w:rPr>
      </w:pPr>
      <w:r w:rsidDel="00000000" w:rsidR="00000000" w:rsidRPr="00000000">
        <w:rPr>
          <w:b w:val="1"/>
          <w:bCs w:val="1"/>
          <w:rtl w:val="0"/>
        </w:rPr>
        <w:t xml:space="preserve">About Greenford High School</w:t>
      </w:r>
    </w:p>
    <w:p w:rsidR="00000000" w:rsidDel="00000000" w:rsidP="00000000" w:rsidRDefault="00000000" w:rsidRPr="00000000" w14:paraId="00000018">
      <w:pPr>
        <w:spacing w:after="0" w:line="240" w:lineRule="auto"/>
        <w:jc w:val="both"/>
        <w:rPr/>
      </w:pPr>
      <w:r w:rsidDel="00000000" w:rsidR="00000000" w:rsidRPr="00000000">
        <w:rPr>
          <w:rtl w:val="0"/>
        </w:rPr>
        <w:t xml:space="preserve">Over the last decade we have consistently achieved outcomes that have placed us in the top 5-10% of schools nationally for student progress.  We aim for all students to achieve excellent academic results and many gain places at top universities, but we are also a truly comprehensive school which tries to get the best out of every child, whatever their ability or circumstances. We value our students’ personal development and always support trips, visits, speakers and extra-curricular experiences where we can. We are known for our exceptionally strong relationships between staff and students and for our staff promotion opportunities across many areas of the school.</w:t>
      </w:r>
    </w:p>
    <w:p w:rsidR="00000000" w:rsidDel="00000000" w:rsidP="00000000" w:rsidRDefault="00000000" w:rsidRPr="00000000" w14:paraId="00000019">
      <w:pPr>
        <w:spacing w:after="0" w:line="240" w:lineRule="auto"/>
        <w:jc w:val="both"/>
        <w:rPr/>
      </w:pPr>
      <w:r w:rsidDel="00000000" w:rsidR="00000000" w:rsidRPr="00000000">
        <w:rPr>
          <w:rtl w:val="0"/>
        </w:rPr>
      </w:r>
    </w:p>
    <w:p w:rsidR="00000000" w:rsidDel="00000000" w:rsidP="00000000" w:rsidRDefault="00000000" w:rsidRPr="00000000" w14:paraId="0000001A">
      <w:pPr>
        <w:spacing w:after="0" w:line="240" w:lineRule="auto"/>
        <w:jc w:val="both"/>
        <w:rPr/>
      </w:pPr>
      <w:r w:rsidDel="00000000" w:rsidR="00000000" w:rsidRPr="00000000">
        <w:rPr>
          <w:rtl w:val="0"/>
        </w:rPr>
        <w:t xml:space="preserve">Our facilities are superb with a university campus style layout, extensive IT facilities, large, expansive playing fields and a purpose-built block for Year 7.  We also have one of the largest Post-16 Centres in London with designated study and support areas. </w:t>
      </w:r>
    </w:p>
    <w:p w:rsidR="00000000" w:rsidDel="00000000" w:rsidP="00000000" w:rsidRDefault="00000000" w:rsidRPr="00000000" w14:paraId="0000001B">
      <w:pPr>
        <w:spacing w:after="0" w:line="240" w:lineRule="auto"/>
        <w:jc w:val="both"/>
        <w:rPr/>
      </w:pPr>
      <w:r w:rsidDel="00000000" w:rsidR="00000000" w:rsidRPr="00000000">
        <w:rPr>
          <w:rtl w:val="0"/>
        </w:rPr>
      </w:r>
    </w:p>
    <w:p w:rsidR="00000000" w:rsidDel="00000000" w:rsidP="00000000" w:rsidRDefault="00000000" w:rsidRPr="00000000" w14:paraId="0000001C">
      <w:pPr>
        <w:spacing w:after="0" w:line="240" w:lineRule="auto"/>
        <w:jc w:val="both"/>
        <w:rPr>
          <w:b w:val="1"/>
          <w:bCs w:val="1"/>
        </w:rPr>
      </w:pPr>
      <w:r w:rsidDel="00000000" w:rsidR="00000000" w:rsidRPr="00000000">
        <w:rPr>
          <w:b w:val="1"/>
          <w:bCs w:val="1"/>
          <w:rtl w:val="0"/>
        </w:rPr>
        <w:t xml:space="preserve">‘Learning to Succeed’</w:t>
      </w:r>
    </w:p>
    <w:p w:rsidR="00000000" w:rsidDel="00000000" w:rsidP="00000000" w:rsidRDefault="00000000" w:rsidRPr="00000000" w14:paraId="0000001D">
      <w:pPr>
        <w:spacing w:after="0" w:line="240" w:lineRule="auto"/>
        <w:jc w:val="both"/>
        <w:rPr>
          <w:color w:val="000000"/>
        </w:rPr>
      </w:pPr>
      <w:r w:rsidDel="00000000" w:rsidR="00000000" w:rsidRPr="00000000">
        <w:rPr>
          <w:color w:val="000000"/>
          <w:rtl w:val="0"/>
        </w:rPr>
        <w:t xml:space="preserve">Our motto encapsulates our vision; we are all on a continuous journey of learning, whilst trying to achieve success in everything that we do. Our aim is for students to fulfil their limitless potential – through perseverance and effort. We don’t select our students, but we do select our staff. Each highly trained staff member is here to support, guide, inspire our students so that whatever their starting point when they arrive, they leave with the world at their feet – equipped and ready to continue their learning through apprenticeships, at university and throughout their careers.</w:t>
      </w:r>
    </w:p>
    <w:p w:rsidR="00000000" w:rsidDel="00000000" w:rsidP="00000000" w:rsidRDefault="00000000" w:rsidRPr="00000000" w14:paraId="0000001E">
      <w:pPr>
        <w:spacing w:after="0" w:line="240" w:lineRule="auto"/>
        <w:jc w:val="both"/>
        <w:rPr/>
      </w:pPr>
      <w:r w:rsidDel="00000000" w:rsidR="00000000" w:rsidRPr="00000000">
        <w:rPr>
          <w:rtl w:val="0"/>
        </w:rPr>
      </w:r>
    </w:p>
    <w:p w:rsidR="00000000" w:rsidDel="00000000" w:rsidP="00000000" w:rsidRDefault="00000000" w:rsidRPr="00000000" w14:paraId="0000001F">
      <w:pPr>
        <w:spacing w:after="0" w:line="240" w:lineRule="auto"/>
        <w:jc w:val="both"/>
        <w:rPr>
          <w:b w:val="1"/>
          <w:bCs w:val="1"/>
        </w:rPr>
      </w:pPr>
      <w:r w:rsidDel="00000000" w:rsidR="00000000" w:rsidRPr="00000000">
        <w:rPr>
          <w:rtl w:val="0"/>
        </w:rPr>
      </w:r>
    </w:p>
    <w:p w:rsidR="00000000" w:rsidDel="00000000" w:rsidP="00000000" w:rsidRDefault="00000000" w:rsidRPr="00000000" w14:paraId="00000020">
      <w:pPr>
        <w:spacing w:after="0" w:line="240" w:lineRule="auto"/>
        <w:jc w:val="both"/>
        <w:rPr>
          <w:b w:val="1"/>
          <w:bCs w:val="1"/>
        </w:rPr>
      </w:pPr>
      <w:r w:rsidDel="00000000" w:rsidR="00000000" w:rsidRPr="00000000">
        <w:rPr>
          <w:rtl w:val="0"/>
        </w:rPr>
      </w:r>
    </w:p>
    <w:p w:rsidR="00000000" w:rsidDel="00000000" w:rsidP="00000000" w:rsidRDefault="00000000" w:rsidRPr="00000000" w14:paraId="00000021">
      <w:pPr>
        <w:spacing w:after="0" w:line="240" w:lineRule="auto"/>
        <w:jc w:val="both"/>
        <w:rPr>
          <w:b w:val="1"/>
          <w:bCs w:val="1"/>
        </w:rPr>
      </w:pPr>
      <w:r w:rsidDel="00000000" w:rsidR="00000000" w:rsidRPr="00000000">
        <w:rPr>
          <w:rtl w:val="0"/>
        </w:rPr>
      </w:r>
    </w:p>
    <w:p w:rsidR="00000000" w:rsidDel="00000000" w:rsidP="00000000" w:rsidRDefault="00000000" w:rsidRPr="00000000" w14:paraId="00000022">
      <w:pPr>
        <w:spacing w:after="0" w:line="240" w:lineRule="auto"/>
        <w:jc w:val="both"/>
        <w:rPr>
          <w:b w:val="1"/>
          <w:bCs w:val="1"/>
        </w:rPr>
      </w:pPr>
      <w:r w:rsidDel="00000000" w:rsidR="00000000" w:rsidRPr="00000000">
        <w:rPr>
          <w:rtl w:val="0"/>
        </w:rPr>
      </w:r>
    </w:p>
    <w:p w:rsidR="00000000" w:rsidDel="00000000" w:rsidP="00000000" w:rsidRDefault="00000000" w:rsidRPr="00000000" w14:paraId="00000023">
      <w:pPr>
        <w:spacing w:after="0" w:line="240" w:lineRule="auto"/>
        <w:jc w:val="both"/>
        <w:rPr>
          <w:b w:val="1"/>
          <w:bCs w:val="1"/>
        </w:rPr>
      </w:pPr>
      <w:r w:rsidDel="00000000" w:rsidR="00000000" w:rsidRPr="00000000">
        <w:rPr>
          <w:rtl w:val="0"/>
        </w:rPr>
      </w:r>
    </w:p>
    <w:p w:rsidR="00000000" w:rsidDel="00000000" w:rsidP="00000000" w:rsidRDefault="00000000" w:rsidRPr="00000000" w14:paraId="00000024">
      <w:pPr>
        <w:spacing w:after="0" w:line="240" w:lineRule="auto"/>
        <w:jc w:val="both"/>
        <w:rPr>
          <w:b w:val="1"/>
          <w:bCs w:val="1"/>
        </w:rPr>
      </w:pPr>
      <w:r w:rsidDel="00000000" w:rsidR="00000000" w:rsidRPr="00000000">
        <w:rPr>
          <w:rtl w:val="0"/>
        </w:rPr>
      </w:r>
    </w:p>
    <w:p w:rsidR="00000000" w:rsidDel="00000000" w:rsidP="00000000" w:rsidRDefault="00000000" w:rsidRPr="00000000" w14:paraId="00000025">
      <w:pPr>
        <w:spacing w:after="0" w:line="240" w:lineRule="auto"/>
        <w:jc w:val="both"/>
        <w:rPr>
          <w:b w:val="1"/>
          <w:bCs w:val="1"/>
        </w:rPr>
      </w:pPr>
      <w:r w:rsidDel="00000000" w:rsidR="00000000" w:rsidRPr="00000000">
        <w:rPr>
          <w:b w:val="1"/>
          <w:bCs w:val="1"/>
          <w:rtl w:val="0"/>
        </w:rPr>
        <w:t xml:space="preserve">Staff benefits include:</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generous non-contact time;</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a supportive approach to approving staff leave of absences;</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small class sizes where possible;</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financial assistance for master’s and further degrees;</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a partnership with the Institute of Education and Teach First;</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an outstanding record of staff achieving promotion;</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the opportunity to train and mentor student teachers;</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free on-site car parking spaces and secure bicycle storage;</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free access to onsite ‘Everyone Active’ sporting facilities and fitness gym;</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access to the ‘Workplace Options’ staff support scheme and onsite counselling;</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plenty of opportunities to teach Post 16;</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staff social events and staff well-being sessions.</w:t>
      </w:r>
    </w:p>
    <w:p w:rsidR="00000000" w:rsidDel="00000000" w:rsidP="00000000" w:rsidRDefault="00000000" w:rsidRPr="00000000" w14:paraId="00000032">
      <w:pPr>
        <w:spacing w:after="0" w:line="240" w:lineRule="auto"/>
        <w:jc w:val="both"/>
        <w:rPr/>
      </w:pPr>
      <w:r w:rsidDel="00000000" w:rsidR="00000000" w:rsidRPr="00000000">
        <w:rPr>
          <w:rtl w:val="0"/>
        </w:rPr>
      </w:r>
    </w:p>
    <w:p w:rsidR="00000000" w:rsidDel="00000000" w:rsidP="00000000" w:rsidRDefault="00000000" w:rsidRPr="00000000" w14:paraId="00000033">
      <w:pPr>
        <w:spacing w:after="0" w:line="240" w:lineRule="auto"/>
        <w:jc w:val="both"/>
        <w:rPr>
          <w:b w:val="1"/>
          <w:bCs w:val="1"/>
          <w:i w:val="1"/>
          <w:iCs w:val="1"/>
          <w:highlight w:val="yellow"/>
        </w:rPr>
      </w:pPr>
      <w:r w:rsidDel="00000000" w:rsidR="00000000" w:rsidRPr="00000000">
        <w:rPr>
          <w:b w:val="1"/>
          <w:bCs w:val="1"/>
          <w:i w:val="1"/>
          <w:iCs w:val="1"/>
          <w:rtl w:val="0"/>
        </w:rPr>
        <w:t xml:space="preserve">What our students say about our teaching staff:</w:t>
      </w: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i w:val="1"/>
          <w:iCs w:val="1"/>
          <w:color w:val="000000"/>
        </w:rPr>
      </w:pPr>
      <w:r w:rsidDel="00000000" w:rsidR="00000000" w:rsidRPr="00000000">
        <w:rPr>
          <w:i w:val="1"/>
          <w:iCs w:val="1"/>
          <w:color w:val="000000"/>
          <w:rtl w:val="0"/>
        </w:rPr>
        <w:t xml:space="preserve">“…is one of my favourite teachers and makes PE even more enjoyable”</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i w:val="1"/>
          <w:iCs w:val="1"/>
          <w:color w:val="000000"/>
        </w:rPr>
      </w:pPr>
      <w:r w:rsidDel="00000000" w:rsidR="00000000" w:rsidRPr="00000000">
        <w:rPr>
          <w:i w:val="1"/>
          <w:iCs w:val="1"/>
          <w:color w:val="000000"/>
          <w:rtl w:val="0"/>
        </w:rPr>
        <w:t xml:space="preserve">“…helped me understand Geography really well”</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i w:val="1"/>
          <w:iCs w:val="1"/>
          <w:color w:val="000000"/>
        </w:rPr>
      </w:pPr>
      <w:r w:rsidDel="00000000" w:rsidR="00000000" w:rsidRPr="00000000">
        <w:rPr>
          <w:i w:val="1"/>
          <w:iCs w:val="1"/>
          <w:color w:val="000000"/>
          <w:rtl w:val="0"/>
        </w:rPr>
        <w:t xml:space="preserve">“…showed me Maths isn’t scary”</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i w:val="1"/>
          <w:iCs w:val="1"/>
          <w:color w:val="000000"/>
        </w:rPr>
      </w:pPr>
      <w:r w:rsidDel="00000000" w:rsidR="00000000" w:rsidRPr="00000000">
        <w:rPr>
          <w:i w:val="1"/>
          <w:iCs w:val="1"/>
          <w:rtl w:val="0"/>
        </w:rPr>
        <w:t xml:space="preserve">“</w:t>
      </w:r>
      <w:r w:rsidDel="00000000" w:rsidR="00000000" w:rsidRPr="00000000">
        <w:rPr>
          <w:i w:val="1"/>
          <w:iCs w:val="1"/>
          <w:color w:val="000000"/>
          <w:rtl w:val="0"/>
        </w:rPr>
        <w:t xml:space="preserve">…has the talent to control classes and there is less noise”</w:t>
      </w:r>
    </w:p>
    <w:p w:rsidR="00000000" w:rsidDel="00000000" w:rsidP="00000000" w:rsidRDefault="00000000" w:rsidRPr="00000000" w14:paraId="00000038">
      <w:pPr>
        <w:spacing w:after="0" w:line="240" w:lineRule="auto"/>
        <w:jc w:val="both"/>
        <w:rPr/>
      </w:pPr>
      <w:r w:rsidDel="00000000" w:rsidR="00000000" w:rsidRPr="00000000">
        <w:rPr>
          <w:rtl w:val="0"/>
        </w:rPr>
      </w:r>
    </w:p>
    <w:p w:rsidR="00000000" w:rsidDel="00000000" w:rsidP="00000000" w:rsidRDefault="00000000" w:rsidRPr="00000000" w14:paraId="00000039">
      <w:pPr>
        <w:spacing w:after="0" w:line="240" w:lineRule="auto"/>
        <w:jc w:val="both"/>
        <w:rPr>
          <w:b w:val="1"/>
          <w:bCs w:val="1"/>
        </w:rPr>
      </w:pPr>
      <w:r w:rsidDel="00000000" w:rsidR="00000000" w:rsidRPr="00000000">
        <w:rPr>
          <w:rtl w:val="0"/>
        </w:rPr>
      </w:r>
    </w:p>
    <w:p w:rsidR="00000000" w:rsidDel="00000000" w:rsidP="00000000" w:rsidRDefault="00000000" w:rsidRPr="00000000" w14:paraId="0000003A">
      <w:pPr>
        <w:spacing w:after="0" w:line="240" w:lineRule="auto"/>
        <w:jc w:val="both"/>
        <w:rPr>
          <w:b w:val="1"/>
          <w:bCs w:val="1"/>
        </w:rPr>
      </w:pPr>
      <w:r w:rsidDel="00000000" w:rsidR="00000000" w:rsidRPr="00000000">
        <w:rPr>
          <w:b w:val="1"/>
          <w:bCs w:val="1"/>
          <w:rtl w:val="0"/>
        </w:rPr>
        <w:t xml:space="preserve">Our Staff</w:t>
      </w:r>
    </w:p>
    <w:p w:rsidR="00000000" w:rsidDel="00000000" w:rsidP="00000000" w:rsidRDefault="00000000" w:rsidRPr="00000000" w14:paraId="0000003B">
      <w:pPr>
        <w:spacing w:after="0" w:line="240" w:lineRule="auto"/>
        <w:jc w:val="both"/>
        <w:rPr/>
      </w:pPr>
      <w:r w:rsidDel="00000000" w:rsidR="00000000" w:rsidRPr="00000000">
        <w:rPr>
          <w:color w:val="000000"/>
          <w:rtl w:val="0"/>
        </w:rPr>
        <w:t xml:space="preserve">Our school is a highly diverse community, and it is very important to us that the profile of our staff group matches that of our students. We therefore welcome applications from all suitably qualified candidates from a wide range of backgrounds.</w:t>
      </w:r>
      <w:r w:rsidDel="00000000" w:rsidR="00000000" w:rsidRPr="00000000">
        <w:rPr>
          <w:rtl w:val="0"/>
        </w:rPr>
      </w:r>
    </w:p>
    <w:p w:rsidR="00000000" w:rsidDel="00000000" w:rsidP="00000000" w:rsidRDefault="00000000" w:rsidRPr="00000000" w14:paraId="0000003C">
      <w:pPr>
        <w:spacing w:after="0" w:line="240" w:lineRule="auto"/>
        <w:jc w:val="both"/>
        <w:rPr>
          <w:b w:val="1"/>
          <w:bCs w:val="1"/>
        </w:rPr>
      </w:pPr>
      <w:r w:rsidDel="00000000" w:rsidR="00000000" w:rsidRPr="00000000">
        <w:rPr>
          <w:rtl w:val="0"/>
        </w:rPr>
      </w:r>
    </w:p>
    <w:p w:rsidR="00000000" w:rsidDel="00000000" w:rsidP="00000000" w:rsidRDefault="00000000" w:rsidRPr="00000000" w14:paraId="0000003D">
      <w:pPr>
        <w:spacing w:after="0" w:line="240" w:lineRule="auto"/>
        <w:jc w:val="both"/>
        <w:rPr>
          <w:b w:val="1"/>
          <w:bCs w:val="1"/>
        </w:rPr>
      </w:pPr>
      <w:r w:rsidDel="00000000" w:rsidR="00000000" w:rsidRPr="00000000">
        <w:rPr>
          <w:b w:val="1"/>
          <w:bCs w:val="1"/>
          <w:rtl w:val="0"/>
        </w:rPr>
        <w:t xml:space="preserve">Our staff are true teaching experts and continue to innovate further through our collaborative CPD programme and networks. If you share our vision and want to join a school where your skills as a teaching professional will be recognised and valued, please apply via TES or My New Term.</w:t>
      </w:r>
    </w:p>
    <w:p w:rsidR="00000000" w:rsidDel="00000000" w:rsidP="00000000" w:rsidRDefault="00000000" w:rsidRPr="00000000" w14:paraId="0000003E">
      <w:pPr>
        <w:spacing w:after="0" w:line="240" w:lineRule="auto"/>
        <w:jc w:val="center"/>
        <w:rPr>
          <w:b w:val="1"/>
          <w:bCs w:val="1"/>
        </w:rPr>
      </w:pPr>
      <w:r w:rsidDel="00000000" w:rsidR="00000000" w:rsidRPr="00000000">
        <w:rPr>
          <w:rtl w:val="0"/>
        </w:rPr>
      </w:r>
    </w:p>
    <w:p w:rsidR="00000000" w:rsidDel="00000000" w:rsidP="00000000" w:rsidRDefault="00000000" w:rsidRPr="00000000" w14:paraId="0000003F">
      <w:pPr>
        <w:spacing w:after="0" w:line="240" w:lineRule="auto"/>
        <w:jc w:val="center"/>
        <w:rPr>
          <w:b w:val="1"/>
          <w:bCs w:val="1"/>
        </w:rPr>
      </w:pPr>
      <w:r w:rsidDel="00000000" w:rsidR="00000000" w:rsidRPr="00000000">
        <w:rPr>
          <w:i w:val="1"/>
          <w:iCs w:val="1"/>
          <w:rtl w:val="0"/>
        </w:rPr>
        <w:t xml:space="preserve">Applicants are expected to ensure their applications are written in their own words.</w:t>
      </w:r>
      <w:r w:rsidDel="00000000" w:rsidR="00000000" w:rsidRPr="00000000">
        <w:rPr>
          <w:rtl w:val="0"/>
        </w:rPr>
      </w:r>
    </w:p>
    <w:p w:rsidR="00000000" w:rsidDel="00000000" w:rsidP="00000000" w:rsidRDefault="00000000" w:rsidRPr="00000000" w14:paraId="00000040">
      <w:pPr>
        <w:spacing w:after="0" w:line="240" w:lineRule="auto"/>
        <w:jc w:val="center"/>
        <w:rPr>
          <w:i w:val="1"/>
          <w:iCs w:val="1"/>
        </w:rPr>
      </w:pPr>
      <w:r w:rsidDel="00000000" w:rsidR="00000000" w:rsidRPr="00000000">
        <w:rPr>
          <w:i w:val="1"/>
          <w:iCs w:val="1"/>
          <w:rtl w:val="0"/>
        </w:rPr>
        <w:t xml:space="preserve">We reserve the right to use an AI checker on any application.</w:t>
      </w:r>
    </w:p>
    <w:p w:rsidR="00000000" w:rsidDel="00000000" w:rsidP="00000000" w:rsidRDefault="00000000" w:rsidRPr="00000000" w14:paraId="00000041">
      <w:pPr>
        <w:spacing w:after="0" w:line="240" w:lineRule="auto"/>
        <w:jc w:val="center"/>
        <w:rPr>
          <w:i w:val="1"/>
          <w:iCs w:val="1"/>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jc w:val="center"/>
        <w:rPr>
          <w:b w:val="1"/>
          <w:bCs w:val="1"/>
          <w:color w:val="000000"/>
        </w:rPr>
      </w:pPr>
      <w:r w:rsidDel="00000000" w:rsidR="00000000" w:rsidRPr="00000000">
        <w:rPr>
          <w:b w:val="1"/>
          <w:bCs w:val="1"/>
          <w:color w:val="000000"/>
          <w:rtl w:val="0"/>
        </w:rPr>
        <w:t xml:space="preserve">Greenford is committed to safeguarding and promoting the welfare of children and young people. Successful applicants will undergo mandatory pre-employment checks including reference checks with previous employment, criminal record checks with the Disclosure &amp; Barring Service (DBS), and an occupational health medical fitness assessment</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center"/>
        <w:rPr>
          <w:rFonts w:ascii="Century Gothic" w:cs="Century Gothic" w:eastAsia="Century Gothic" w:hAnsi="Century Gothic"/>
          <w:b w:val="1"/>
          <w:bCs w:val="1"/>
          <w:sz w:val="18"/>
          <w:szCs w:val="18"/>
        </w:rPr>
      </w:pPr>
      <w:r w:rsidDel="00000000" w:rsidR="00000000" w:rsidRPr="00000000">
        <w:rPr>
          <w:rtl w:val="0"/>
        </w:rPr>
      </w:r>
    </w:p>
    <w:sectPr>
      <w:headerReference r:id="rId8" w:type="default"/>
      <w:pgSz w:h="16838" w:w="11906" w:orient="portrait"/>
      <w:pgMar w:bottom="851" w:top="851" w:left="1440" w:right="1274" w:header="34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spacing w:after="0" w:line="240" w:lineRule="auto"/>
      <w:ind w:left="1440" w:firstLine="0"/>
      <w:jc w:val="both"/>
      <w:rPr>
        <w:rFonts w:ascii="Century Gothic" w:cs="Century Gothic" w:eastAsia="Century Gothic" w:hAnsi="Century Gothic"/>
        <w:b w:val="1"/>
        <w:bCs w:val="1"/>
        <w:color w:val="548dd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wDqxwo3ClVUUgVW6IBOBOU4l6Q==">CgMxLjA4AHIhMXI0X2ZTSXIyTjc5ci1JZ1hXd2ozXzJXdEtMS2V2Z2lB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0x010100F3E3EBD871F4DA4F959BE0A5E190F81A</vt:lpwstr>
  </property>
</Properties>
</file>