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0497" w14:textId="77777777" w:rsidR="002930D6" w:rsidRDefault="002930D6" w:rsidP="00D4493B">
      <w:pPr>
        <w:pStyle w:val="TNCBodyText"/>
        <w:rPr>
          <w:rFonts w:ascii="Avenir Next LT Pro" w:hAnsi="Avenir Next LT Pro"/>
          <w:b/>
          <w:bCs/>
          <w:color w:val="000000" w:themeColor="text1"/>
        </w:rPr>
      </w:pPr>
    </w:p>
    <w:p w14:paraId="7257C52A" w14:textId="2BBB7B6D" w:rsidR="00A15033" w:rsidRPr="002233E6" w:rsidRDefault="00B4223F" w:rsidP="00A15033">
      <w:pPr>
        <w:pStyle w:val="BFETStyle"/>
        <w:jc w:val="center"/>
        <w:rPr>
          <w:rFonts w:ascii="Avenir Next LT Pro" w:hAnsi="Avenir Next LT Pro"/>
          <w:b/>
          <w:bCs/>
          <w:lang w:val="en-GB"/>
        </w:rPr>
      </w:pPr>
      <w:r>
        <w:rPr>
          <w:rFonts w:ascii="Avenir Next LT Pro" w:hAnsi="Avenir Next LT Pro"/>
          <w:b/>
          <w:bCs/>
          <w:lang w:val="en-GB"/>
        </w:rPr>
        <w:t xml:space="preserve">Chair </w:t>
      </w:r>
      <w:r w:rsidR="009570B7">
        <w:rPr>
          <w:rFonts w:ascii="Avenir Next LT Pro" w:hAnsi="Avenir Next LT Pro"/>
          <w:b/>
          <w:bCs/>
          <w:lang w:val="en-GB"/>
        </w:rPr>
        <w:t xml:space="preserve">of Trustees </w:t>
      </w:r>
      <w:r w:rsidR="00A15033" w:rsidRPr="002233E6">
        <w:rPr>
          <w:rFonts w:ascii="Avenir Next LT Pro" w:hAnsi="Avenir Next LT Pro"/>
          <w:b/>
          <w:bCs/>
          <w:lang w:val="en-GB"/>
        </w:rPr>
        <w:t>Job Description</w:t>
      </w:r>
    </w:p>
    <w:p w14:paraId="2E31A84F" w14:textId="6A6C4611" w:rsidR="00D4493B" w:rsidRPr="002233E6" w:rsidRDefault="00D4493B" w:rsidP="00230E50">
      <w:pPr>
        <w:pStyle w:val="TNCBodyText"/>
        <w:spacing w:before="0" w:after="160"/>
        <w:rPr>
          <w:rFonts w:ascii="Avenir Next LT Pro" w:hAnsi="Avenir Next LT Pro"/>
          <w:b/>
          <w:bCs/>
          <w:color w:val="000000" w:themeColor="text1"/>
        </w:rPr>
      </w:pPr>
      <w:r w:rsidRPr="002233E6">
        <w:rPr>
          <w:rFonts w:ascii="Avenir Next LT Pro" w:hAnsi="Avenir Next LT Pro"/>
          <w:b/>
          <w:bCs/>
          <w:color w:val="000000" w:themeColor="text1"/>
        </w:rPr>
        <w:t>General duties</w:t>
      </w:r>
    </w:p>
    <w:p w14:paraId="4BBC44C6" w14:textId="77777777" w:rsidR="00FB1B56" w:rsidRPr="002233E6"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Work with the board and senior management teams to ensure that there is a common understanding of the trust’s vision, mission, and strategic objectives and priorities amongst all members of the trust’s community.</w:t>
      </w:r>
    </w:p>
    <w:p w14:paraId="10A74E14" w14:textId="77777777" w:rsidR="00FB1B56" w:rsidRPr="002233E6"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Work with the headteachers and LGBs to promote and maintain high standards of educational attainment.</w:t>
      </w:r>
    </w:p>
    <w:p w14:paraId="7D6B0930" w14:textId="77777777" w:rsidR="00FB1B56" w:rsidRPr="002233E6"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Provide consistent and expert leadership for the board, supporting others in their roles and ensuring all trustees are suitably knowledgeable.</w:t>
      </w:r>
    </w:p>
    <w:p w14:paraId="0E4C71EC" w14:textId="77777777" w:rsidR="00FB1B56" w:rsidRPr="002233E6"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With the board as a whole, hold the headteachers and SLTs to account for the educational performance of the academies and their pupils, and for the performance management of staff.</w:t>
      </w:r>
    </w:p>
    <w:p w14:paraId="25BB2B66" w14:textId="77777777" w:rsidR="00FB1B56" w:rsidRPr="002233E6"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Ensure the oversight of the financial performance of the trust, and the effective use of the trust’s resources.</w:t>
      </w:r>
    </w:p>
    <w:p w14:paraId="11A33D0B" w14:textId="4EB48046" w:rsidR="001466EC" w:rsidRDefault="00FB1B56" w:rsidP="001466EC">
      <w:pPr>
        <w:pStyle w:val="TNCBodyText"/>
        <w:numPr>
          <w:ilvl w:val="0"/>
          <w:numId w:val="8"/>
        </w:numPr>
        <w:ind w:left="422"/>
        <w:rPr>
          <w:rFonts w:ascii="Avenir Next LT Pro" w:hAnsi="Avenir Next LT Pro" w:cs="Arial"/>
          <w:bCs/>
        </w:rPr>
      </w:pPr>
      <w:r w:rsidRPr="002233E6">
        <w:rPr>
          <w:rFonts w:ascii="Avenir Next LT Pro" w:hAnsi="Avenir Next LT Pro"/>
        </w:rPr>
        <w:t xml:space="preserve">Plan, chair, and facilitate board meetings, working with the </w:t>
      </w:r>
      <w:r w:rsidR="00C91F0B">
        <w:rPr>
          <w:rFonts w:ascii="Avenir Next LT Pro" w:hAnsi="Avenir Next LT Pro"/>
        </w:rPr>
        <w:t xml:space="preserve">Governance </w:t>
      </w:r>
      <w:r w:rsidR="008919EC">
        <w:rPr>
          <w:rFonts w:ascii="Avenir Next LT Pro" w:hAnsi="Avenir Next LT Pro"/>
        </w:rPr>
        <w:t>Professional</w:t>
      </w:r>
      <w:r w:rsidRPr="002233E6">
        <w:rPr>
          <w:rFonts w:ascii="Avenir Next LT Pro" w:hAnsi="Avenir Next LT Pro"/>
        </w:rPr>
        <w:t xml:space="preserve"> to set the agendas and plan the annual cycle of meetings.</w:t>
      </w:r>
    </w:p>
    <w:p w14:paraId="55174AAA" w14:textId="19C0B9C3" w:rsidR="006F0D05" w:rsidRPr="001466EC" w:rsidRDefault="00FB1B56" w:rsidP="001466EC">
      <w:pPr>
        <w:pStyle w:val="TNCBodyText"/>
        <w:numPr>
          <w:ilvl w:val="0"/>
          <w:numId w:val="8"/>
        </w:numPr>
        <w:ind w:left="422"/>
        <w:rPr>
          <w:rFonts w:ascii="Avenir Next LT Pro" w:hAnsi="Avenir Next LT Pro" w:cs="Arial"/>
          <w:bCs/>
        </w:rPr>
      </w:pPr>
      <w:r w:rsidRPr="001466EC">
        <w:rPr>
          <w:rFonts w:ascii="Avenir Next LT Pro" w:hAnsi="Avenir Next LT Pro"/>
        </w:rPr>
        <w:t>Be familiar and compliant with the DfE’s ‘</w:t>
      </w:r>
      <w:hyperlink r:id="rId7" w:history="1">
        <w:r w:rsidRPr="001466EC">
          <w:rPr>
            <w:rStyle w:val="Hyperlink"/>
            <w:rFonts w:ascii="Avenir Next LT Pro" w:hAnsi="Avenir Next LT Pro"/>
          </w:rPr>
          <w:t>Governance handbook and competency framework</w:t>
        </w:r>
      </w:hyperlink>
      <w:r w:rsidRPr="001466EC">
        <w:rPr>
          <w:rFonts w:ascii="Avenir Next LT Pro" w:hAnsi="Avenir Next LT Pro"/>
        </w:rPr>
        <w:t>’ documents, and be aware of the role of the chair, as set out in the guidance.</w:t>
      </w:r>
    </w:p>
    <w:p w14:paraId="61B4ABDE" w14:textId="77777777" w:rsidR="00FB1B56" w:rsidRPr="002233E6" w:rsidRDefault="00FB1B56" w:rsidP="00FB1B56">
      <w:pPr>
        <w:pStyle w:val="TNCBodyText"/>
        <w:spacing w:before="0" w:after="160"/>
        <w:rPr>
          <w:rFonts w:ascii="Avenir Next LT Pro" w:hAnsi="Avenir Next LT Pro"/>
          <w:b/>
          <w:bCs/>
          <w:color w:val="000000" w:themeColor="text1"/>
        </w:rPr>
      </w:pPr>
    </w:p>
    <w:p w14:paraId="0393091F" w14:textId="77777777" w:rsidR="00AB32DA" w:rsidRPr="002233E6" w:rsidRDefault="00AB32DA" w:rsidP="00AB32DA">
      <w:pPr>
        <w:pStyle w:val="TNCBodyText"/>
        <w:rPr>
          <w:rFonts w:ascii="Avenir Next LT Pro" w:hAnsi="Avenir Next LT Pro"/>
          <w:b/>
          <w:bCs/>
        </w:rPr>
      </w:pPr>
      <w:r w:rsidRPr="002233E6">
        <w:rPr>
          <w:rFonts w:ascii="Avenir Next LT Pro" w:hAnsi="Avenir Next LT Pro"/>
          <w:b/>
          <w:bCs/>
        </w:rPr>
        <w:t xml:space="preserve">Strategic leadership </w:t>
      </w:r>
    </w:p>
    <w:p w14:paraId="3AD1A39F" w14:textId="77777777" w:rsidR="00AB32DA" w:rsidRPr="002233E6" w:rsidRDefault="00AB32DA" w:rsidP="001466EC">
      <w:pPr>
        <w:pStyle w:val="TNCBodyText"/>
        <w:numPr>
          <w:ilvl w:val="0"/>
          <w:numId w:val="9"/>
        </w:numPr>
        <w:ind w:left="422"/>
        <w:rPr>
          <w:rFonts w:ascii="Avenir Next LT Pro" w:hAnsi="Avenir Next LT Pro" w:cs="Arial"/>
          <w:bCs/>
        </w:rPr>
      </w:pPr>
      <w:r w:rsidRPr="002233E6">
        <w:rPr>
          <w:rFonts w:ascii="Avenir Next LT Pro" w:hAnsi="Avenir Next LT Pro"/>
        </w:rPr>
        <w:t>Monitor the performance and impact of the board in fulfilling their duties for effective governance.</w:t>
      </w:r>
    </w:p>
    <w:p w14:paraId="177ED32F" w14:textId="77777777" w:rsidR="00AB32DA" w:rsidRPr="002233E6" w:rsidRDefault="00AB32DA" w:rsidP="001466EC">
      <w:pPr>
        <w:pStyle w:val="TNCBodyText"/>
        <w:numPr>
          <w:ilvl w:val="0"/>
          <w:numId w:val="9"/>
        </w:numPr>
        <w:ind w:left="422"/>
        <w:rPr>
          <w:rFonts w:ascii="Avenir Next LT Pro" w:hAnsi="Avenir Next LT Pro" w:cs="Arial"/>
          <w:bCs/>
        </w:rPr>
      </w:pPr>
      <w:r w:rsidRPr="002233E6">
        <w:rPr>
          <w:rFonts w:ascii="Avenir Next LT Pro" w:hAnsi="Avenir Next LT Pro"/>
        </w:rPr>
        <w:t>Have a strong commitment to the academies and their pupils, working in a way that reflects the vision and ethos of the trust.</w:t>
      </w:r>
    </w:p>
    <w:p w14:paraId="777867B8" w14:textId="77777777" w:rsidR="00AB32DA" w:rsidRPr="002233E6" w:rsidRDefault="00AB32DA" w:rsidP="001466EC">
      <w:pPr>
        <w:pStyle w:val="TNCBodyText"/>
        <w:numPr>
          <w:ilvl w:val="0"/>
          <w:numId w:val="9"/>
        </w:numPr>
        <w:ind w:left="422"/>
        <w:rPr>
          <w:rFonts w:ascii="Avenir Next LT Pro" w:hAnsi="Avenir Next LT Pro" w:cs="Arial"/>
          <w:bCs/>
        </w:rPr>
      </w:pPr>
      <w:r w:rsidRPr="002233E6">
        <w:rPr>
          <w:rFonts w:ascii="Avenir Next LT Pro" w:hAnsi="Avenir Next LT Pro"/>
        </w:rPr>
        <w:t>Lead the board and the SLTs in ensuring operational decisions contribute to strategic priorities.</w:t>
      </w:r>
    </w:p>
    <w:p w14:paraId="61300024" w14:textId="77777777" w:rsidR="00AB32DA" w:rsidRPr="002233E6" w:rsidRDefault="00AB32DA" w:rsidP="001466EC">
      <w:pPr>
        <w:pStyle w:val="TNCBodyText"/>
        <w:numPr>
          <w:ilvl w:val="0"/>
          <w:numId w:val="9"/>
        </w:numPr>
        <w:ind w:left="422"/>
        <w:rPr>
          <w:rFonts w:ascii="Avenir Next LT Pro" w:hAnsi="Avenir Next LT Pro" w:cs="Arial"/>
          <w:bCs/>
        </w:rPr>
      </w:pPr>
      <w:r w:rsidRPr="002233E6">
        <w:rPr>
          <w:rFonts w:ascii="Avenir Next LT Pro" w:hAnsi="Avenir Next LT Pro"/>
        </w:rPr>
        <w:t>Ensure there is effective and regular communication within the board, and meetings are well organised so that everyone can contribute and be heard.</w:t>
      </w:r>
    </w:p>
    <w:p w14:paraId="7918D773"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Proactively maintain a good relationship between trustees, LGBs, headteachers and SLTs, and exemplify this effective relationship.</w:t>
      </w:r>
    </w:p>
    <w:p w14:paraId="490E4F30"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Ensure trustee members work together as an effective team.</w:t>
      </w:r>
    </w:p>
    <w:p w14:paraId="4500BA61" w14:textId="77777777" w:rsidR="006B7350" w:rsidRPr="005B6AB7"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Ensure LGBs and trustees understand their accountability and responsibilities.</w:t>
      </w:r>
    </w:p>
    <w:p w14:paraId="43A519B2" w14:textId="77777777" w:rsidR="005B6AB7" w:rsidRPr="002233E6" w:rsidRDefault="005B6AB7" w:rsidP="005B6AB7">
      <w:pPr>
        <w:pStyle w:val="TNCBodyText"/>
        <w:ind w:left="422"/>
        <w:rPr>
          <w:rFonts w:ascii="Avenir Next LT Pro" w:hAnsi="Avenir Next LT Pro" w:cs="Arial"/>
          <w:bCs/>
        </w:rPr>
      </w:pPr>
    </w:p>
    <w:p w14:paraId="47FB0231"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lastRenderedPageBreak/>
        <w:t>Ensure trustees recognise the influence of the board on the strategic leadership of the trust.</w:t>
      </w:r>
    </w:p>
    <w:p w14:paraId="038FDB4F"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Ensure trustees are committed to, and working towards, driving improvement across the trust.</w:t>
      </w:r>
    </w:p>
    <w:p w14:paraId="40DD2071"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Set the culture of the board, providing exemplary practice, but act as a ‘first among equals’ – recognising that the collective board makes decisions rather than individuals.</w:t>
      </w:r>
    </w:p>
    <w:p w14:paraId="7E327879"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Recognise when the board, or an individual member, is not behaving as expected, and take appropriate action to address this.</w:t>
      </w:r>
    </w:p>
    <w:p w14:paraId="7144A999" w14:textId="77777777"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Ensure the board understands the scope of any issues in question and is clear about decisions they need to make.</w:t>
      </w:r>
    </w:p>
    <w:p w14:paraId="5938F4EC" w14:textId="722B454B" w:rsidR="006B7350" w:rsidRPr="002233E6" w:rsidRDefault="006B7350" w:rsidP="001466EC">
      <w:pPr>
        <w:pStyle w:val="TNCBodyText"/>
        <w:numPr>
          <w:ilvl w:val="0"/>
          <w:numId w:val="9"/>
        </w:numPr>
        <w:ind w:left="422"/>
        <w:rPr>
          <w:rFonts w:ascii="Avenir Next LT Pro" w:hAnsi="Avenir Next LT Pro" w:cs="Arial"/>
          <w:bCs/>
        </w:rPr>
      </w:pPr>
      <w:r w:rsidRPr="002233E6">
        <w:rPr>
          <w:rFonts w:ascii="Avenir Next LT Pro" w:hAnsi="Avenir Next LT Pro"/>
        </w:rPr>
        <w:t>Lead discussions and decisions about what functions to delegate to specific trustees and committees.</w:t>
      </w:r>
    </w:p>
    <w:p w14:paraId="62896408" w14:textId="77777777" w:rsidR="006B7350" w:rsidRPr="002233E6" w:rsidRDefault="006B7350" w:rsidP="006B7350">
      <w:pPr>
        <w:pStyle w:val="TNCBodyText"/>
        <w:ind w:left="360"/>
        <w:rPr>
          <w:rFonts w:ascii="Avenir Next LT Pro" w:hAnsi="Avenir Next LT Pro" w:cs="Arial"/>
          <w:bCs/>
        </w:rPr>
      </w:pPr>
    </w:p>
    <w:p w14:paraId="21034EA8" w14:textId="77777777" w:rsidR="00462A33" w:rsidRPr="002233E6" w:rsidRDefault="00462A33" w:rsidP="00462A33">
      <w:pPr>
        <w:pStyle w:val="TNCBodyText"/>
        <w:rPr>
          <w:rFonts w:ascii="Avenir Next LT Pro" w:hAnsi="Avenir Next LT Pro"/>
        </w:rPr>
      </w:pPr>
      <w:r w:rsidRPr="002233E6">
        <w:rPr>
          <w:rFonts w:ascii="Avenir Next LT Pro" w:hAnsi="Avenir Next LT Pro"/>
          <w:b/>
          <w:bCs/>
        </w:rPr>
        <w:t>Governance</w:t>
      </w:r>
    </w:p>
    <w:p w14:paraId="16ED3F93" w14:textId="77777777" w:rsidR="00462A33" w:rsidRPr="002233E6" w:rsidRDefault="00462A33" w:rsidP="001466EC">
      <w:pPr>
        <w:pStyle w:val="TNCBodyText"/>
        <w:numPr>
          <w:ilvl w:val="0"/>
          <w:numId w:val="11"/>
        </w:numPr>
        <w:ind w:left="422"/>
        <w:rPr>
          <w:rFonts w:ascii="Avenir Next LT Pro" w:hAnsi="Avenir Next LT Pro" w:cs="Arial"/>
          <w:bCs/>
        </w:rPr>
      </w:pPr>
      <w:r w:rsidRPr="002233E6">
        <w:rPr>
          <w:rFonts w:ascii="Avenir Next LT Pro" w:hAnsi="Avenir Next LT Pro"/>
        </w:rPr>
        <w:t>Develop the knowledge and capability of the board.</w:t>
      </w:r>
    </w:p>
    <w:p w14:paraId="26ACBB40" w14:textId="77777777" w:rsidR="00462A33" w:rsidRPr="002233E6" w:rsidRDefault="00462A33" w:rsidP="001466EC">
      <w:pPr>
        <w:pStyle w:val="TNCBodyText"/>
        <w:numPr>
          <w:ilvl w:val="0"/>
          <w:numId w:val="11"/>
        </w:numPr>
        <w:ind w:left="422"/>
        <w:rPr>
          <w:rFonts w:ascii="Avenir Next LT Pro" w:hAnsi="Avenir Next LT Pro" w:cs="Arial"/>
          <w:bCs/>
        </w:rPr>
      </w:pPr>
      <w:r w:rsidRPr="002233E6">
        <w:rPr>
          <w:rFonts w:ascii="Avenir Next LT Pro" w:hAnsi="Avenir Next LT Pro"/>
        </w:rPr>
        <w:t>Encourage positive change and, where appropriate, address and resolve any conflicts within the board.</w:t>
      </w:r>
    </w:p>
    <w:p w14:paraId="4B985FB7" w14:textId="77777777" w:rsidR="00462A33" w:rsidRPr="002233E6" w:rsidRDefault="00462A33" w:rsidP="001466EC">
      <w:pPr>
        <w:pStyle w:val="TNCBodyText"/>
        <w:numPr>
          <w:ilvl w:val="0"/>
          <w:numId w:val="11"/>
        </w:numPr>
        <w:ind w:left="422"/>
        <w:rPr>
          <w:rFonts w:ascii="Avenir Next LT Pro" w:hAnsi="Avenir Next LT Pro" w:cs="Arial"/>
          <w:bCs/>
        </w:rPr>
      </w:pPr>
      <w:r w:rsidRPr="002233E6">
        <w:rPr>
          <w:rFonts w:ascii="Avenir Next LT Pro" w:hAnsi="Avenir Next LT Pro"/>
        </w:rPr>
        <w:t xml:space="preserve">Continuously monitor performance, conducting appraisals of the board’s performance on an </w:t>
      </w:r>
      <w:r w:rsidRPr="002233E6">
        <w:rPr>
          <w:rFonts w:ascii="Avenir Next LT Pro" w:hAnsi="Avenir Next LT Pro"/>
          <w:bCs/>
          <w:color w:val="000000" w:themeColor="text1"/>
        </w:rPr>
        <w:t xml:space="preserve">annual </w:t>
      </w:r>
      <w:r w:rsidRPr="002233E6">
        <w:rPr>
          <w:rFonts w:ascii="Avenir Next LT Pro" w:hAnsi="Avenir Next LT Pro"/>
        </w:rPr>
        <w:t>basis.</w:t>
      </w:r>
    </w:p>
    <w:p w14:paraId="16968E65" w14:textId="77777777" w:rsidR="001466EC" w:rsidRPr="001466EC" w:rsidRDefault="00462A33" w:rsidP="001466EC">
      <w:pPr>
        <w:pStyle w:val="TNCBodyText"/>
        <w:numPr>
          <w:ilvl w:val="0"/>
          <w:numId w:val="11"/>
        </w:numPr>
        <w:ind w:left="422"/>
        <w:rPr>
          <w:rFonts w:ascii="Avenir Next LT Pro" w:hAnsi="Avenir Next LT Pro" w:cs="Arial"/>
          <w:bCs/>
        </w:rPr>
      </w:pPr>
      <w:r w:rsidRPr="002233E6">
        <w:rPr>
          <w:rFonts w:ascii="Avenir Next LT Pro" w:hAnsi="Avenir Next LT Pro"/>
        </w:rPr>
        <w:t>Regularly refresh the board, incorporating the right balance of skills, knowledge and experience needed to govern and lead the trust effectively, reflecting the wider population.</w:t>
      </w:r>
    </w:p>
    <w:p w14:paraId="426B461F" w14:textId="527CBE1F" w:rsidR="00D52A48" w:rsidRPr="001466EC" w:rsidRDefault="00462A33" w:rsidP="001466EC">
      <w:pPr>
        <w:pStyle w:val="TNCBodyText"/>
        <w:numPr>
          <w:ilvl w:val="0"/>
          <w:numId w:val="11"/>
        </w:numPr>
        <w:ind w:left="422"/>
        <w:rPr>
          <w:rFonts w:ascii="Avenir Next LT Pro" w:hAnsi="Avenir Next LT Pro" w:cs="Arial"/>
          <w:bCs/>
        </w:rPr>
      </w:pPr>
      <w:r w:rsidRPr="001466EC">
        <w:rPr>
          <w:rFonts w:ascii="Avenir Next LT Pro" w:hAnsi="Avenir Next LT Pro"/>
        </w:rPr>
        <w:t>Work within any agreed policies adopted by the trust.</w:t>
      </w:r>
    </w:p>
    <w:p w14:paraId="7D3A43C5" w14:textId="77777777" w:rsidR="007A3C51" w:rsidRPr="002233E6" w:rsidRDefault="007A3C51" w:rsidP="00462A33">
      <w:pPr>
        <w:pStyle w:val="BFETStyle"/>
        <w:spacing w:after="80"/>
        <w:ind w:firstLine="720"/>
        <w:rPr>
          <w:rFonts w:ascii="Avenir Next LT Pro" w:hAnsi="Avenir Next LT Pro"/>
          <w:sz w:val="22"/>
          <w:szCs w:val="22"/>
        </w:rPr>
      </w:pPr>
    </w:p>
    <w:p w14:paraId="144A840D" w14:textId="77777777" w:rsidR="007A3C51" w:rsidRPr="002233E6" w:rsidRDefault="007A3C51" w:rsidP="007A3C51">
      <w:pPr>
        <w:pStyle w:val="TNCBodyText"/>
        <w:rPr>
          <w:rFonts w:ascii="Avenir Next LT Pro" w:hAnsi="Avenir Next LT Pro"/>
          <w:b/>
          <w:bCs/>
        </w:rPr>
      </w:pPr>
      <w:r w:rsidRPr="002233E6">
        <w:rPr>
          <w:rFonts w:ascii="Avenir Next LT Pro" w:hAnsi="Avenir Next LT Pro"/>
          <w:b/>
          <w:bCs/>
        </w:rPr>
        <w:t>Efficiency and effectiveness</w:t>
      </w:r>
    </w:p>
    <w:p w14:paraId="09B8A79D" w14:textId="77777777" w:rsidR="007A3C51" w:rsidRPr="002233E6" w:rsidRDefault="007A3C51" w:rsidP="001466EC">
      <w:pPr>
        <w:pStyle w:val="TNCBodyText"/>
        <w:numPr>
          <w:ilvl w:val="0"/>
          <w:numId w:val="12"/>
        </w:numPr>
        <w:ind w:left="422"/>
        <w:rPr>
          <w:rFonts w:ascii="Avenir Next LT Pro" w:hAnsi="Avenir Next LT Pro" w:cs="Arial"/>
          <w:bCs/>
        </w:rPr>
      </w:pPr>
      <w:r w:rsidRPr="002233E6">
        <w:rPr>
          <w:rFonts w:ascii="Avenir Next LT Pro" w:hAnsi="Avenir Next LT Pro"/>
        </w:rPr>
        <w:t>Chair board meetings effectively and efficiently, bringing impartiality and objectivity to the decision-making process.</w:t>
      </w:r>
    </w:p>
    <w:p w14:paraId="0C02F10E" w14:textId="463E5F46" w:rsidR="007A3C51" w:rsidRPr="002233E6" w:rsidRDefault="007A3C51" w:rsidP="001466EC">
      <w:pPr>
        <w:pStyle w:val="TNCBodyText"/>
        <w:numPr>
          <w:ilvl w:val="0"/>
          <w:numId w:val="12"/>
        </w:numPr>
        <w:ind w:left="422"/>
        <w:rPr>
          <w:rFonts w:ascii="Avenir Next LT Pro" w:hAnsi="Avenir Next LT Pro" w:cs="Arial"/>
          <w:bCs/>
        </w:rPr>
      </w:pPr>
      <w:r w:rsidRPr="002233E6">
        <w:rPr>
          <w:rFonts w:ascii="Avenir Next LT Pro" w:hAnsi="Avenir Next LT Pro"/>
        </w:rPr>
        <w:t xml:space="preserve">Work closely with the </w:t>
      </w:r>
      <w:r w:rsidR="004F446A">
        <w:rPr>
          <w:rFonts w:ascii="Avenir Next LT Pro" w:hAnsi="Avenir Next LT Pro"/>
        </w:rPr>
        <w:t xml:space="preserve">Executive Headteacher </w:t>
      </w:r>
      <w:r w:rsidRPr="002233E6">
        <w:rPr>
          <w:rFonts w:ascii="Avenir Next LT Pro" w:hAnsi="Avenir Next LT Pro"/>
        </w:rPr>
        <w:t>to give direction to board policy-making and to ensure that meetings are well planned, meaningful and reflect the responsibilities of trustees.</w:t>
      </w:r>
    </w:p>
    <w:p w14:paraId="67E65058" w14:textId="77777777" w:rsidR="007A3C51" w:rsidRPr="002233E6" w:rsidRDefault="007A3C51" w:rsidP="001466EC">
      <w:pPr>
        <w:pStyle w:val="TNCBodyText"/>
        <w:numPr>
          <w:ilvl w:val="0"/>
          <w:numId w:val="12"/>
        </w:numPr>
        <w:ind w:left="422"/>
        <w:rPr>
          <w:rFonts w:ascii="Avenir Next LT Pro" w:hAnsi="Avenir Next LT Pro"/>
        </w:rPr>
      </w:pPr>
      <w:r w:rsidRPr="002233E6">
        <w:rPr>
          <w:rFonts w:ascii="Avenir Next LT Pro" w:hAnsi="Avenir Next LT Pro"/>
        </w:rPr>
        <w:t>Monitor decisions to ensure that they are implemented correctly and in a timely manner.</w:t>
      </w:r>
    </w:p>
    <w:p w14:paraId="7923BA32" w14:textId="77777777" w:rsidR="008C2098" w:rsidRPr="002233E6" w:rsidRDefault="008C2098" w:rsidP="008C2098">
      <w:pPr>
        <w:pStyle w:val="TNCBodyText"/>
        <w:ind w:left="720"/>
        <w:rPr>
          <w:rFonts w:ascii="Avenir Next LT Pro" w:hAnsi="Avenir Next LT Pro"/>
        </w:rPr>
      </w:pPr>
    </w:p>
    <w:p w14:paraId="0411D8BB" w14:textId="77777777" w:rsidR="008C2098" w:rsidRPr="002233E6" w:rsidRDefault="008C2098" w:rsidP="008C2098">
      <w:pPr>
        <w:pStyle w:val="TNCBodyText"/>
        <w:rPr>
          <w:rFonts w:ascii="Avenir Next LT Pro" w:hAnsi="Avenir Next LT Pro"/>
          <w:b/>
          <w:bCs/>
        </w:rPr>
      </w:pPr>
      <w:r w:rsidRPr="002233E6">
        <w:rPr>
          <w:rFonts w:ascii="Avenir Next LT Pro" w:hAnsi="Avenir Next LT Pro"/>
          <w:b/>
          <w:bCs/>
        </w:rPr>
        <w:t xml:space="preserve">Building a team </w:t>
      </w:r>
    </w:p>
    <w:p w14:paraId="3BB434EE" w14:textId="6FB69F36"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Ensure the board attracts and retains governors</w:t>
      </w:r>
      <w:r w:rsidR="003E1555">
        <w:rPr>
          <w:rFonts w:ascii="Avenir Next LT Pro" w:hAnsi="Avenir Next LT Pro"/>
        </w:rPr>
        <w:t>/trustees</w:t>
      </w:r>
      <w:r w:rsidRPr="002233E6">
        <w:rPr>
          <w:rFonts w:ascii="Avenir Next LT Pro" w:hAnsi="Avenir Next LT Pro"/>
        </w:rPr>
        <w:t xml:space="preserve"> with the necessary skills to fill the different roles across the board, competently and professionally – this will include effective succession planning.</w:t>
      </w:r>
    </w:p>
    <w:p w14:paraId="0B5F74BE"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lastRenderedPageBreak/>
        <w:t>Ensure tasks are delegated across the board to share workload, and ensure that individual members contribute their skills, knowledge and experience.</w:t>
      </w:r>
    </w:p>
    <w:p w14:paraId="680E4E2D"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Ensure that delegation helps to improve others’ leadership skills – for example, allowing fellow trustees to take the chair of committees or act as mentors to new trustees.</w:t>
      </w:r>
    </w:p>
    <w:p w14:paraId="07D9F42F"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Clearly set out what is expected from trustees and ensure that trustees’ skills are regularly audited to reflect this.</w:t>
      </w:r>
    </w:p>
    <w:p w14:paraId="4F796EC3"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Identify any gaps in knowledge, skills and experience, ensuring that these are filled through training and recruitment – this could mean taking time to train or recruit trustees with specialist experience, if necessary.</w:t>
      </w:r>
    </w:p>
    <w:p w14:paraId="009B17D2"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cs="Arial"/>
          <w:bCs/>
        </w:rPr>
        <w:t>Take into account the importance of promoting equality and diversity when recruiting and consider the extent to which the board represents the community it serves.</w:t>
      </w:r>
    </w:p>
    <w:p w14:paraId="58ED72C2"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Ensure clear, open and honest communication between trustees at all times.</w:t>
      </w:r>
    </w:p>
    <w:p w14:paraId="28586168"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Ensure the board undertakes periodic reviews of its effectiveness, measured against the Ofsted criteria for effective governance and the DfE’s competency framework.</w:t>
      </w:r>
    </w:p>
    <w:p w14:paraId="619DAB6B"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Foster a culture of self-evaluation and review amongst the board.</w:t>
      </w:r>
    </w:p>
    <w:p w14:paraId="78C62380"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Make oneself approachable and available to other trustees, taking the issues they raise, and the ideas they have, seriously.</w:t>
      </w:r>
    </w:p>
    <w:p w14:paraId="644CDA76"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Ensure an up-to-date and fully-functioning code of practice is in place, outlining the board’s role</w:t>
      </w:r>
      <w:r w:rsidRPr="002233E6">
        <w:rPr>
          <w:rFonts w:ascii="Avenir Next LT Pro" w:hAnsi="Avenir Next LT Pro" w:cs="ArialMT"/>
        </w:rPr>
        <w:t>.</w:t>
      </w:r>
    </w:p>
    <w:p w14:paraId="7365CF89"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Develop the competence of the vice-chair to act as chair, should the need arise.</w:t>
      </w:r>
    </w:p>
    <w:p w14:paraId="23D79F7A" w14:textId="77777777" w:rsidR="008C2098" w:rsidRPr="002233E6" w:rsidRDefault="008C2098" w:rsidP="001466EC">
      <w:pPr>
        <w:pStyle w:val="TNCBodyText"/>
        <w:numPr>
          <w:ilvl w:val="0"/>
          <w:numId w:val="13"/>
        </w:numPr>
        <w:ind w:left="422"/>
        <w:rPr>
          <w:rFonts w:ascii="Avenir Next LT Pro" w:hAnsi="Avenir Next LT Pro" w:cs="Arial"/>
          <w:bCs/>
        </w:rPr>
      </w:pPr>
      <w:r w:rsidRPr="002233E6">
        <w:rPr>
          <w:rFonts w:ascii="Avenir Next LT Pro" w:hAnsi="Avenir Next LT Pro"/>
        </w:rPr>
        <w:t>Listen to the clerk, also known as the governance professional, and take direction from them on issues of compliance and other matters.</w:t>
      </w:r>
    </w:p>
    <w:p w14:paraId="220DC398" w14:textId="77777777" w:rsidR="008C2098" w:rsidRPr="002233E6" w:rsidRDefault="008C2098" w:rsidP="001466EC">
      <w:pPr>
        <w:pStyle w:val="TNCBodyText"/>
        <w:numPr>
          <w:ilvl w:val="0"/>
          <w:numId w:val="13"/>
        </w:numPr>
        <w:ind w:left="422"/>
        <w:rPr>
          <w:rFonts w:ascii="Avenir Next LT Pro" w:hAnsi="Avenir Next LT Pro"/>
        </w:rPr>
      </w:pPr>
      <w:r w:rsidRPr="002233E6">
        <w:rPr>
          <w:rFonts w:ascii="Avenir Next LT Pro" w:hAnsi="Avenir Next LT Pro"/>
        </w:rPr>
        <w:t>Recognise and reward individual and group achievements, not just in relation to the board, but across the wider trust.</w:t>
      </w:r>
    </w:p>
    <w:p w14:paraId="708E33FF" w14:textId="77777777" w:rsidR="00E72EC7" w:rsidRPr="002233E6" w:rsidRDefault="00E72EC7" w:rsidP="00E72EC7">
      <w:pPr>
        <w:pStyle w:val="TNCBodyText"/>
        <w:ind w:left="720"/>
        <w:rPr>
          <w:rFonts w:ascii="Avenir Next LT Pro" w:hAnsi="Avenir Next LT Pro"/>
        </w:rPr>
      </w:pPr>
    </w:p>
    <w:p w14:paraId="4335F37E" w14:textId="77777777" w:rsidR="00E72EC7" w:rsidRPr="002233E6" w:rsidRDefault="00E72EC7" w:rsidP="00E72EC7">
      <w:pPr>
        <w:pStyle w:val="TNCBodyText"/>
        <w:rPr>
          <w:rFonts w:ascii="Avenir Next LT Pro" w:hAnsi="Avenir Next LT Pro"/>
          <w:b/>
          <w:bCs/>
        </w:rPr>
      </w:pPr>
      <w:r w:rsidRPr="002233E6">
        <w:rPr>
          <w:rFonts w:ascii="Avenir Next LT Pro" w:hAnsi="Avenir Next LT Pro"/>
          <w:b/>
          <w:bCs/>
        </w:rPr>
        <w:t>External relations</w:t>
      </w:r>
    </w:p>
    <w:p w14:paraId="07CB0709" w14:textId="77777777" w:rsidR="00E72EC7" w:rsidRPr="002233E6" w:rsidRDefault="00E72EC7" w:rsidP="001466EC">
      <w:pPr>
        <w:pStyle w:val="TNCBodyText"/>
        <w:numPr>
          <w:ilvl w:val="0"/>
          <w:numId w:val="14"/>
        </w:numPr>
        <w:ind w:left="422"/>
        <w:rPr>
          <w:rFonts w:ascii="Avenir Next LT Pro" w:hAnsi="Avenir Next LT Pro" w:cs="Arial"/>
          <w:b/>
        </w:rPr>
      </w:pPr>
      <w:r w:rsidRPr="002233E6">
        <w:rPr>
          <w:rFonts w:ascii="Avenir Next LT Pro" w:hAnsi="Avenir Next LT Pro"/>
        </w:rPr>
        <w:t>Act as an ambassador for the trust, being a spokesperson for the trust, when necessary.</w:t>
      </w:r>
    </w:p>
    <w:p w14:paraId="12D9AB14" w14:textId="77777777" w:rsidR="00E72EC7" w:rsidRPr="002233E6" w:rsidRDefault="00E72EC7" w:rsidP="001466EC">
      <w:pPr>
        <w:pStyle w:val="TNCBodyText"/>
        <w:numPr>
          <w:ilvl w:val="0"/>
          <w:numId w:val="14"/>
        </w:numPr>
        <w:ind w:left="422"/>
        <w:rPr>
          <w:rFonts w:ascii="Avenir Next LT Pro" w:hAnsi="Avenir Next LT Pro" w:cs="Arial"/>
          <w:b/>
        </w:rPr>
      </w:pPr>
      <w:r w:rsidRPr="002233E6">
        <w:rPr>
          <w:rFonts w:ascii="Avenir Next LT Pro" w:hAnsi="Avenir Next LT Pro"/>
        </w:rPr>
        <w:t>Represent the trust at external functions, meetings and events.</w:t>
      </w:r>
    </w:p>
    <w:p w14:paraId="3169463F" w14:textId="77777777" w:rsidR="001466EC" w:rsidRPr="001466EC" w:rsidRDefault="00E72EC7" w:rsidP="001466EC">
      <w:pPr>
        <w:pStyle w:val="TNCBodyText"/>
        <w:numPr>
          <w:ilvl w:val="0"/>
          <w:numId w:val="14"/>
        </w:numPr>
        <w:ind w:left="422"/>
        <w:rPr>
          <w:rFonts w:ascii="Avenir Next LT Pro" w:hAnsi="Avenir Next LT Pro" w:cs="Arial"/>
          <w:b/>
        </w:rPr>
      </w:pPr>
      <w:r w:rsidRPr="002233E6">
        <w:rPr>
          <w:rFonts w:ascii="Avenir Next LT Pro" w:hAnsi="Avenir Next LT Pro"/>
        </w:rPr>
        <w:t>Facilitate change and address any potential conflicts with external stakeholders.</w:t>
      </w:r>
    </w:p>
    <w:p w14:paraId="1CC400FD" w14:textId="06ACE210" w:rsidR="007A3C51" w:rsidRPr="001466EC" w:rsidRDefault="00E72EC7" w:rsidP="001466EC">
      <w:pPr>
        <w:pStyle w:val="TNCBodyText"/>
        <w:numPr>
          <w:ilvl w:val="0"/>
          <w:numId w:val="14"/>
        </w:numPr>
        <w:ind w:left="422"/>
        <w:rPr>
          <w:rFonts w:ascii="Avenir Next LT Pro" w:hAnsi="Avenir Next LT Pro" w:cs="Arial"/>
          <w:b/>
        </w:rPr>
      </w:pPr>
      <w:r w:rsidRPr="001466EC">
        <w:rPr>
          <w:rFonts w:ascii="Avenir Next LT Pro" w:hAnsi="Avenir Next LT Pro"/>
        </w:rPr>
        <w:t>Communicate and build a rapport with external stakeholders, authorities, organisations and other schools – acting as a reliable ambassador and valued point of contact.</w:t>
      </w:r>
    </w:p>
    <w:p w14:paraId="6AA320FE" w14:textId="77777777" w:rsidR="00764000" w:rsidRPr="002233E6" w:rsidRDefault="00764000" w:rsidP="00E72EC7">
      <w:pPr>
        <w:pStyle w:val="BFETStyle"/>
        <w:spacing w:after="80"/>
        <w:ind w:firstLine="720"/>
        <w:rPr>
          <w:rFonts w:ascii="Avenir Next LT Pro" w:hAnsi="Avenir Next LT Pro"/>
          <w:sz w:val="22"/>
          <w:szCs w:val="22"/>
        </w:rPr>
      </w:pPr>
    </w:p>
    <w:p w14:paraId="7A81778B" w14:textId="77777777" w:rsidR="005B6AB7" w:rsidRDefault="005B6AB7" w:rsidP="00764000">
      <w:pPr>
        <w:pStyle w:val="TNCBodyText"/>
        <w:rPr>
          <w:rFonts w:ascii="Avenir Next LT Pro" w:hAnsi="Avenir Next LT Pro"/>
          <w:b/>
          <w:bCs/>
        </w:rPr>
      </w:pPr>
    </w:p>
    <w:p w14:paraId="14923426" w14:textId="2FD787CC" w:rsidR="00764000" w:rsidRPr="002233E6" w:rsidRDefault="00764000" w:rsidP="00764000">
      <w:pPr>
        <w:pStyle w:val="TNCBodyText"/>
        <w:rPr>
          <w:rFonts w:ascii="Avenir Next LT Pro" w:hAnsi="Avenir Next LT Pro"/>
          <w:b/>
          <w:bCs/>
        </w:rPr>
      </w:pPr>
      <w:r w:rsidRPr="002233E6">
        <w:rPr>
          <w:rFonts w:ascii="Avenir Next LT Pro" w:hAnsi="Avenir Next LT Pro"/>
          <w:b/>
          <w:bCs/>
        </w:rPr>
        <w:lastRenderedPageBreak/>
        <w:t>Leading the organisation</w:t>
      </w:r>
    </w:p>
    <w:p w14:paraId="47E75BDD"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Ensure that the board and the academies within the trust fulfil their statutory obligations and responsibilities.</w:t>
      </w:r>
    </w:p>
    <w:p w14:paraId="11BC00C2"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Ensure the board guides the LGBs in utilising resources responsibly and effectively.</w:t>
      </w:r>
    </w:p>
    <w:p w14:paraId="7475D349"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Prepare in advance of board meetings, ensuring the agenda is focussed on the trust’s key priorities, and that the data and information provided enables the board to carry out its core functions of holding headteachers, LGBs and SLTs to account.</w:t>
      </w:r>
    </w:p>
    <w:p w14:paraId="67379C4A"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Facilitate decision-making, even in difficult areas, and manage the expectations of executive leaders when doing so.</w:t>
      </w:r>
    </w:p>
    <w:p w14:paraId="5B73BDFD"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Work with the clerk to ensure the right data is provided by executive leaders and promote the importance of data interrogation to hold executive leaders to account.</w:t>
      </w:r>
    </w:p>
    <w:p w14:paraId="024C7D76"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Identify when specialist skills and experience in audit, fraud or human resources is required to undertake a specific task.</w:t>
      </w:r>
    </w:p>
    <w:p w14:paraId="4B75D695" w14:textId="77777777" w:rsidR="00764000" w:rsidRPr="002233E6" w:rsidRDefault="00764000" w:rsidP="001466EC">
      <w:pPr>
        <w:pStyle w:val="TNCBodyText"/>
        <w:numPr>
          <w:ilvl w:val="0"/>
          <w:numId w:val="15"/>
        </w:numPr>
        <w:ind w:left="422"/>
        <w:rPr>
          <w:rFonts w:ascii="Avenir Next LT Pro" w:hAnsi="Avenir Next LT Pro"/>
          <w:b/>
        </w:rPr>
      </w:pPr>
      <w:r w:rsidRPr="002233E6">
        <w:rPr>
          <w:rFonts w:ascii="Avenir Next LT Pro" w:hAnsi="Avenir Next LT Pro"/>
        </w:rPr>
        <w:t>Ensure the board is aware of, and prepared for, formal external scrutiny and provide strategic leadership to the board during periods of scrutiny.</w:t>
      </w:r>
    </w:p>
    <w:p w14:paraId="02B5ED40" w14:textId="77777777" w:rsidR="00764000" w:rsidRPr="002233E6" w:rsidRDefault="00764000" w:rsidP="001466EC">
      <w:pPr>
        <w:pStyle w:val="TNCBodyText"/>
        <w:numPr>
          <w:ilvl w:val="0"/>
          <w:numId w:val="15"/>
        </w:numPr>
        <w:ind w:left="422"/>
        <w:rPr>
          <w:rFonts w:ascii="Avenir Next LT Pro" w:hAnsi="Avenir Next LT Pro"/>
        </w:rPr>
      </w:pPr>
      <w:r w:rsidRPr="002233E6">
        <w:rPr>
          <w:rFonts w:ascii="Avenir Next LT Pro" w:hAnsi="Avenir Next LT Pro"/>
        </w:rPr>
        <w:t>Ensure the trust is engaged with parents and the wider community and represents its interests.</w:t>
      </w:r>
    </w:p>
    <w:p w14:paraId="02FE31D5" w14:textId="77777777" w:rsidR="006F2BF9" w:rsidRPr="002233E6" w:rsidRDefault="006F2BF9" w:rsidP="006F2BF9">
      <w:pPr>
        <w:pStyle w:val="TNCBodyText"/>
        <w:ind w:left="720"/>
        <w:rPr>
          <w:rFonts w:ascii="Avenir Next LT Pro" w:hAnsi="Avenir Next LT Pro"/>
        </w:rPr>
      </w:pPr>
    </w:p>
    <w:p w14:paraId="21B21ECD" w14:textId="77777777" w:rsidR="006F2BF9" w:rsidRPr="002233E6" w:rsidRDefault="006F2BF9" w:rsidP="006F2BF9">
      <w:pPr>
        <w:pStyle w:val="TNCBodyText"/>
        <w:rPr>
          <w:rFonts w:ascii="Avenir Next LT Pro" w:hAnsi="Avenir Next LT Pro"/>
          <w:b/>
          <w:bCs/>
        </w:rPr>
      </w:pPr>
      <w:r w:rsidRPr="002233E6">
        <w:rPr>
          <w:rFonts w:ascii="Avenir Next LT Pro" w:hAnsi="Avenir Next LT Pro"/>
          <w:b/>
          <w:bCs/>
        </w:rPr>
        <w:t>Professional relationships</w:t>
      </w:r>
    </w:p>
    <w:p w14:paraId="495465A7" w14:textId="77777777" w:rsidR="006F2BF9" w:rsidRPr="002233E6"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Agree, from the outset, clear expectations between themselves and headteachers, LGBs and SLTs, and create a culture of open and honest dialogue, ensuring that this is welcomed from all individuals.</w:t>
      </w:r>
    </w:p>
    <w:p w14:paraId="45CCA6F0" w14:textId="51299806" w:rsidR="006F2BF9" w:rsidRPr="002233E6"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Establish and build a strong, effective and a constructive working relationship with the</w:t>
      </w:r>
      <w:r w:rsidR="004F446A">
        <w:rPr>
          <w:rFonts w:ascii="Avenir Next LT Pro" w:hAnsi="Avenir Next LT Pro"/>
        </w:rPr>
        <w:t xml:space="preserve"> Executive Headteacher</w:t>
      </w:r>
      <w:r w:rsidRPr="002233E6">
        <w:rPr>
          <w:rFonts w:ascii="Avenir Next LT Pro" w:hAnsi="Avenir Next LT Pro"/>
        </w:rPr>
        <w:t>, as they are held to account for achieving agreed strategic objectives.</w:t>
      </w:r>
    </w:p>
    <w:p w14:paraId="572D14E9" w14:textId="39046BF3" w:rsidR="006F2BF9" w:rsidRPr="002233E6"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 xml:space="preserve">Support the </w:t>
      </w:r>
      <w:r w:rsidR="004F446A">
        <w:rPr>
          <w:rFonts w:ascii="Avenir Next LT Pro" w:hAnsi="Avenir Next LT Pro"/>
        </w:rPr>
        <w:t>Executive Headteacher</w:t>
      </w:r>
      <w:r w:rsidRPr="002233E6">
        <w:rPr>
          <w:rFonts w:ascii="Avenir Next LT Pro" w:hAnsi="Avenir Next LT Pro"/>
        </w:rPr>
        <w:t>, whilst respecting the boundaries which exist between the two roles.</w:t>
      </w:r>
    </w:p>
    <w:p w14:paraId="778812AC" w14:textId="5B7DD279" w:rsidR="006F2BF9" w:rsidRPr="002233E6"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 xml:space="preserve">Maintain regular contact with the </w:t>
      </w:r>
      <w:r w:rsidR="004F446A">
        <w:rPr>
          <w:rFonts w:ascii="Avenir Next LT Pro" w:hAnsi="Avenir Next LT Pro"/>
        </w:rPr>
        <w:t>Executive Headteacher</w:t>
      </w:r>
      <w:r w:rsidRPr="002233E6">
        <w:rPr>
          <w:rFonts w:ascii="Avenir Next LT Pro" w:hAnsi="Avenir Next LT Pro"/>
        </w:rPr>
        <w:t xml:space="preserve"> and develop and maintain an open and supportive relationship within which each can speak openly about concerns, worries and challenges.</w:t>
      </w:r>
    </w:p>
    <w:p w14:paraId="3A413D22" w14:textId="37A4CC05" w:rsidR="006F2BF9" w:rsidRPr="002233E6"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 xml:space="preserve">Liaise with the </w:t>
      </w:r>
      <w:r w:rsidR="004F446A" w:rsidRPr="004F446A">
        <w:rPr>
          <w:rFonts w:ascii="Avenir Next LT Pro" w:hAnsi="Avenir Next LT Pro"/>
        </w:rPr>
        <w:t xml:space="preserve">Executive Headteacher </w:t>
      </w:r>
      <w:r w:rsidRPr="002233E6">
        <w:rPr>
          <w:rFonts w:ascii="Avenir Next LT Pro" w:hAnsi="Avenir Next LT Pro"/>
        </w:rPr>
        <w:t>to maintain an overview of the trust’s affairs, providing support as necessary.</w:t>
      </w:r>
    </w:p>
    <w:p w14:paraId="6BBC8CB4" w14:textId="1055925B" w:rsidR="001466EC" w:rsidRPr="001466EC" w:rsidRDefault="006F2BF9" w:rsidP="001466EC">
      <w:pPr>
        <w:pStyle w:val="TNCBodyText"/>
        <w:numPr>
          <w:ilvl w:val="0"/>
          <w:numId w:val="16"/>
        </w:numPr>
        <w:ind w:left="422"/>
        <w:rPr>
          <w:rFonts w:ascii="Avenir Next LT Pro" w:hAnsi="Avenir Next LT Pro" w:cs="Arial"/>
          <w:b/>
        </w:rPr>
      </w:pPr>
      <w:r w:rsidRPr="002233E6">
        <w:rPr>
          <w:rFonts w:ascii="Avenir Next LT Pro" w:hAnsi="Avenir Next LT Pro"/>
        </w:rPr>
        <w:t xml:space="preserve">Conduct an annual appraisal and remuneration review for the </w:t>
      </w:r>
      <w:r w:rsidR="004F446A" w:rsidRPr="004F446A">
        <w:rPr>
          <w:rFonts w:ascii="Avenir Next LT Pro" w:hAnsi="Avenir Next LT Pro"/>
        </w:rPr>
        <w:t xml:space="preserve">Executive Headteacher </w:t>
      </w:r>
      <w:r w:rsidRPr="002233E6">
        <w:rPr>
          <w:rFonts w:ascii="Avenir Next LT Pro" w:hAnsi="Avenir Next LT Pro"/>
        </w:rPr>
        <w:t>in consultation with other trustees.</w:t>
      </w:r>
    </w:p>
    <w:p w14:paraId="166D3047" w14:textId="403FD433" w:rsidR="00764000" w:rsidRPr="00D4679A" w:rsidRDefault="006F2BF9" w:rsidP="001466EC">
      <w:pPr>
        <w:pStyle w:val="TNCBodyText"/>
        <w:numPr>
          <w:ilvl w:val="0"/>
          <w:numId w:val="16"/>
        </w:numPr>
        <w:ind w:left="422"/>
        <w:rPr>
          <w:rFonts w:ascii="Avenir Next LT Pro" w:hAnsi="Avenir Next LT Pro" w:cs="Arial"/>
          <w:b/>
        </w:rPr>
      </w:pPr>
      <w:r w:rsidRPr="001466EC">
        <w:rPr>
          <w:rFonts w:ascii="Avenir Next LT Pro" w:hAnsi="Avenir Next LT Pro"/>
        </w:rPr>
        <w:t>Continuously work with the LGBs of the academies in the trust to ensure effective performance and outcomes for pupils.</w:t>
      </w:r>
    </w:p>
    <w:p w14:paraId="05FF55C3" w14:textId="1FCF2342" w:rsidR="00B40941" w:rsidRPr="00B40941" w:rsidRDefault="00B40941" w:rsidP="00B40941">
      <w:pPr>
        <w:pStyle w:val="ListParagraph"/>
        <w:numPr>
          <w:ilvl w:val="0"/>
          <w:numId w:val="16"/>
        </w:numPr>
        <w:spacing w:after="0" w:line="240" w:lineRule="auto"/>
        <w:ind w:left="422"/>
        <w:rPr>
          <w:rFonts w:ascii="Avenir Next LT Pro" w:eastAsia="Times New Roman" w:hAnsi="Avenir Next LT Pro" w:cs="Times New Roman"/>
          <w:kern w:val="0"/>
          <w:sz w:val="22"/>
          <w:szCs w:val="22"/>
          <w:lang w:val="en-GB" w:eastAsia="en-GB"/>
          <w14:ligatures w14:val="none"/>
        </w:rPr>
      </w:pPr>
      <w:r w:rsidRPr="00B40941">
        <w:rPr>
          <w:rFonts w:ascii="Avenir Next LT Pro" w:eastAsia="Times New Roman" w:hAnsi="Avenir Next LT Pro" w:cs="Times New Roman"/>
          <w:kern w:val="0"/>
          <w:sz w:val="22"/>
          <w:szCs w:val="22"/>
          <w:lang w:val="en-GB" w:eastAsia="en-GB"/>
          <w14:ligatures w14:val="none"/>
        </w:rPr>
        <w:t xml:space="preserve">Build and maintain a professional and effective working relationship with the Governance Professional, recognising their role in advising on governance, constitutional and procedural matters. </w:t>
      </w:r>
    </w:p>
    <w:p w14:paraId="2F89C96C" w14:textId="5EED5A35" w:rsidR="00B40941" w:rsidRPr="00B40941" w:rsidRDefault="00B40941" w:rsidP="00B40941">
      <w:pPr>
        <w:pStyle w:val="ListParagraph"/>
        <w:numPr>
          <w:ilvl w:val="0"/>
          <w:numId w:val="16"/>
        </w:numPr>
        <w:spacing w:after="0" w:line="240" w:lineRule="auto"/>
        <w:ind w:left="422"/>
        <w:rPr>
          <w:rFonts w:ascii="Avenir Next LT Pro" w:eastAsia="Times New Roman" w:hAnsi="Avenir Next LT Pro" w:cs="Times New Roman"/>
          <w:kern w:val="0"/>
          <w:sz w:val="22"/>
          <w:szCs w:val="22"/>
          <w:lang w:val="en-GB" w:eastAsia="en-GB"/>
          <w14:ligatures w14:val="none"/>
        </w:rPr>
      </w:pPr>
      <w:r w:rsidRPr="00B40941">
        <w:rPr>
          <w:rFonts w:ascii="Avenir Next LT Pro" w:eastAsia="Times New Roman" w:hAnsi="Avenir Next LT Pro" w:cs="Times New Roman"/>
          <w:kern w:val="0"/>
          <w:sz w:val="22"/>
          <w:szCs w:val="22"/>
          <w:lang w:val="en-GB" w:eastAsia="en-GB"/>
          <w14:ligatures w14:val="none"/>
        </w:rPr>
        <w:t xml:space="preserve">Ensure the Governance Professional is supported and enabled to provide independent and authoritative advice to the board, in line with statutory and regulatory expectations. </w:t>
      </w:r>
    </w:p>
    <w:p w14:paraId="5400F4D2" w14:textId="3D8768EC" w:rsidR="00B40941" w:rsidRPr="00B40941" w:rsidRDefault="00B40941" w:rsidP="00B40941">
      <w:pPr>
        <w:pStyle w:val="ListParagraph"/>
        <w:numPr>
          <w:ilvl w:val="0"/>
          <w:numId w:val="16"/>
        </w:numPr>
        <w:spacing w:after="0" w:line="240" w:lineRule="auto"/>
        <w:ind w:left="422"/>
        <w:rPr>
          <w:rFonts w:ascii="Avenir Next LT Pro" w:eastAsia="Times New Roman" w:hAnsi="Avenir Next LT Pro" w:cs="Times New Roman"/>
          <w:kern w:val="0"/>
          <w:sz w:val="22"/>
          <w:szCs w:val="22"/>
          <w:lang w:val="en-GB" w:eastAsia="en-GB"/>
          <w14:ligatures w14:val="none"/>
        </w:rPr>
      </w:pPr>
      <w:r w:rsidRPr="00B40941">
        <w:rPr>
          <w:rFonts w:ascii="Avenir Next LT Pro" w:eastAsia="Times New Roman" w:hAnsi="Avenir Next LT Pro" w:cs="Times New Roman"/>
          <w:kern w:val="0"/>
          <w:sz w:val="22"/>
          <w:szCs w:val="22"/>
          <w:lang w:val="en-GB" w:eastAsia="en-GB"/>
          <w14:ligatures w14:val="none"/>
        </w:rPr>
        <w:t xml:space="preserve">Work in partnership with the Governance Professional to ensure the board operates effectively, meets its statutory duties, and adheres to the trust’s governance framework and relevant legislation. </w:t>
      </w:r>
    </w:p>
    <w:p w14:paraId="51E0C58E" w14:textId="1118120D" w:rsidR="001466EC" w:rsidRPr="00B40941" w:rsidRDefault="00B40941" w:rsidP="00B40941">
      <w:pPr>
        <w:pStyle w:val="TNCBodyText"/>
        <w:numPr>
          <w:ilvl w:val="0"/>
          <w:numId w:val="16"/>
        </w:numPr>
        <w:ind w:left="422"/>
        <w:rPr>
          <w:rFonts w:ascii="Avenir Next LT Pro" w:hAnsi="Avenir Next LT Pro"/>
          <w:b/>
          <w:bCs/>
        </w:rPr>
      </w:pPr>
      <w:r w:rsidRPr="00B40941">
        <w:rPr>
          <w:rFonts w:ascii="Avenir Next LT Pro" w:eastAsia="Times New Roman" w:hAnsi="Avenir Next LT Pro" w:cs="Times New Roman"/>
          <w:lang w:eastAsia="en-GB"/>
        </w:rPr>
        <w:t>Promote high standards of governance practice, including compliance, transparency and accountability, ensuring the efficient conduct of board and committee business.</w:t>
      </w:r>
    </w:p>
    <w:p w14:paraId="0F479BD2" w14:textId="77777777" w:rsidR="00B40941" w:rsidRPr="00B40941" w:rsidRDefault="00B40941" w:rsidP="00B40941">
      <w:pPr>
        <w:pStyle w:val="TNCBodyText"/>
        <w:ind w:left="422"/>
        <w:rPr>
          <w:rFonts w:ascii="Avenir Next LT Pro" w:hAnsi="Avenir Next LT Pro"/>
          <w:b/>
          <w:bCs/>
        </w:rPr>
      </w:pPr>
    </w:p>
    <w:p w14:paraId="33001AD3" w14:textId="635F1620" w:rsidR="003B6140" w:rsidRPr="002233E6" w:rsidRDefault="003B6140" w:rsidP="003B6140">
      <w:pPr>
        <w:pStyle w:val="TNCBodyText"/>
        <w:rPr>
          <w:rFonts w:ascii="Avenir Next LT Pro" w:hAnsi="Avenir Next LT Pro"/>
          <w:b/>
          <w:bCs/>
        </w:rPr>
      </w:pPr>
      <w:r w:rsidRPr="002233E6">
        <w:rPr>
          <w:rFonts w:ascii="Avenir Next LT Pro" w:hAnsi="Avenir Next LT Pro"/>
          <w:b/>
          <w:bCs/>
        </w:rPr>
        <w:t>Improving the trust</w:t>
      </w:r>
    </w:p>
    <w:p w14:paraId="2611D66A" w14:textId="77777777" w:rsidR="003B6140" w:rsidRPr="002233E6" w:rsidRDefault="003B6140" w:rsidP="001466EC">
      <w:pPr>
        <w:pStyle w:val="TNCBodyText"/>
        <w:numPr>
          <w:ilvl w:val="0"/>
          <w:numId w:val="17"/>
        </w:numPr>
        <w:ind w:left="422"/>
        <w:rPr>
          <w:rFonts w:ascii="Avenir Next LT Pro" w:hAnsi="Avenir Next LT Pro" w:cs="Arial"/>
          <w:b/>
        </w:rPr>
      </w:pPr>
      <w:r w:rsidRPr="002233E6">
        <w:rPr>
          <w:rFonts w:ascii="Avenir Next LT Pro" w:hAnsi="Avenir Next LT Pro"/>
        </w:rPr>
        <w:t>As the individual ultimately responsible for driving improvement across the trust, think strategically about its future direction and identify the steps needed to achieve any goals that are set.</w:t>
      </w:r>
    </w:p>
    <w:p w14:paraId="155B581C" w14:textId="77777777" w:rsidR="003B6140" w:rsidRPr="002233E6" w:rsidRDefault="003B6140" w:rsidP="001466EC">
      <w:pPr>
        <w:pStyle w:val="TNCBodyText"/>
        <w:numPr>
          <w:ilvl w:val="0"/>
          <w:numId w:val="17"/>
        </w:numPr>
        <w:ind w:left="422"/>
        <w:rPr>
          <w:rFonts w:ascii="Avenir Next LT Pro" w:hAnsi="Avenir Next LT Pro" w:cs="Arial"/>
          <w:b/>
        </w:rPr>
      </w:pPr>
      <w:r w:rsidRPr="002233E6">
        <w:rPr>
          <w:rFonts w:ascii="Avenir Next LT Pro" w:hAnsi="Avenir Next LT Pro"/>
        </w:rPr>
        <w:t>Provide effective leadership of organisational change, particularly in difficult periods.</w:t>
      </w:r>
    </w:p>
    <w:p w14:paraId="6C4FD51A" w14:textId="77777777" w:rsidR="003B6140" w:rsidRPr="002233E6" w:rsidRDefault="003B6140" w:rsidP="001466EC">
      <w:pPr>
        <w:pStyle w:val="TNCBodyText"/>
        <w:numPr>
          <w:ilvl w:val="0"/>
          <w:numId w:val="17"/>
        </w:numPr>
        <w:ind w:left="422"/>
        <w:rPr>
          <w:rFonts w:ascii="Avenir Next LT Pro" w:hAnsi="Avenir Next LT Pro" w:cs="Arial"/>
          <w:b/>
        </w:rPr>
      </w:pPr>
      <w:r w:rsidRPr="002233E6">
        <w:rPr>
          <w:rFonts w:ascii="Avenir Next LT Pro" w:hAnsi="Avenir Next LT Pro"/>
        </w:rPr>
        <w:t>Be proactive in seeking and maximising opportunities to form partnerships where these are conducive to achieving the agreed strategic goals.</w:t>
      </w:r>
    </w:p>
    <w:p w14:paraId="4DAF49B8" w14:textId="77777777" w:rsidR="003B6140" w:rsidRPr="002233E6" w:rsidRDefault="003B6140" w:rsidP="001466EC">
      <w:pPr>
        <w:pStyle w:val="TNCBodyText"/>
        <w:numPr>
          <w:ilvl w:val="0"/>
          <w:numId w:val="17"/>
        </w:numPr>
        <w:ind w:left="422"/>
        <w:rPr>
          <w:rFonts w:ascii="Avenir Next LT Pro" w:hAnsi="Avenir Next LT Pro" w:cs="Arial"/>
          <w:b/>
        </w:rPr>
      </w:pPr>
      <w:r w:rsidRPr="002233E6">
        <w:rPr>
          <w:rFonts w:ascii="Avenir Next LT Pro" w:hAnsi="Avenir Next LT Pro"/>
        </w:rPr>
        <w:t>Be proactive in sharing good practice, CPD and lessons learned, where these can be of benefit across the trust.</w:t>
      </w:r>
    </w:p>
    <w:p w14:paraId="453B86F0"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rPr>
        <w:t>Ensure the board holds executive leaders to account for financial and business management, as much as educational outcomes.</w:t>
      </w:r>
    </w:p>
    <w:p w14:paraId="17B48566"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cs="Arial"/>
        </w:rPr>
        <w:t>Ensure the board receives appropriate training or development, where required, on issues of compliance.</w:t>
      </w:r>
    </w:p>
    <w:p w14:paraId="036E563A"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cs="Arial"/>
        </w:rPr>
        <w:t>Actively invite feedback on their performance as chair, making necessary adjustments to benefit the trust.</w:t>
      </w:r>
    </w:p>
    <w:p w14:paraId="3AEE9D14"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cs="Arial"/>
        </w:rPr>
        <w:t>Set challenging development goals across the trust and work effectively with the board to meet them.</w:t>
      </w:r>
    </w:p>
    <w:p w14:paraId="6F0CCFF8"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cs="Arial"/>
        </w:rPr>
        <w:t>Lead the performance review of the board and its committees, and contribute to leadership appraisal and pay awards.</w:t>
      </w:r>
    </w:p>
    <w:p w14:paraId="599356C7" w14:textId="77777777" w:rsidR="002233E6" w:rsidRPr="002233E6" w:rsidRDefault="002233E6" w:rsidP="001466EC">
      <w:pPr>
        <w:pStyle w:val="TNCBodyText"/>
        <w:numPr>
          <w:ilvl w:val="0"/>
          <w:numId w:val="17"/>
        </w:numPr>
        <w:ind w:left="422"/>
        <w:rPr>
          <w:rFonts w:ascii="Avenir Next LT Pro" w:hAnsi="Avenir Next LT Pro" w:cs="Arial"/>
          <w:b/>
        </w:rPr>
      </w:pPr>
      <w:r w:rsidRPr="002233E6">
        <w:rPr>
          <w:rFonts w:ascii="Avenir Next LT Pro" w:hAnsi="Avenir Next LT Pro" w:cs="Arial"/>
        </w:rPr>
        <w:t>Ensure that the board has a thorough understanding and knowledge of the trust, its context, and the characteristics of the localities it serves.</w:t>
      </w:r>
    </w:p>
    <w:p w14:paraId="0474E989" w14:textId="77777777" w:rsidR="002233E6" w:rsidRPr="002233E6" w:rsidRDefault="002233E6" w:rsidP="001466EC">
      <w:pPr>
        <w:pStyle w:val="TNCBodyText"/>
        <w:numPr>
          <w:ilvl w:val="0"/>
          <w:numId w:val="17"/>
        </w:numPr>
        <w:ind w:left="422"/>
        <w:rPr>
          <w:rFonts w:ascii="Avenir Next LT Pro" w:hAnsi="Avenir Next LT Pro" w:cs="Arial"/>
        </w:rPr>
      </w:pPr>
      <w:r w:rsidRPr="002233E6">
        <w:rPr>
          <w:rFonts w:ascii="Avenir Next LT Pro" w:hAnsi="Avenir Next LT Pro" w:cs="Arial"/>
        </w:rPr>
        <w:t>Ensure that, across the board, there is a good understanding of data and other sources of evidence that are available – developing the ability to interpret, analyse and act upon them. These may include, but are not limited to, the following:</w:t>
      </w:r>
    </w:p>
    <w:p w14:paraId="142FED10" w14:textId="77777777"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The Ofsted School Data Dashboard</w:t>
      </w:r>
    </w:p>
    <w:p w14:paraId="0DA62C72" w14:textId="77777777"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The DfE school and college performance tables</w:t>
      </w:r>
    </w:p>
    <w:p w14:paraId="3B03DCA5" w14:textId="77777777"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 xml:space="preserve">Analyse School Performance </w:t>
      </w:r>
    </w:p>
    <w:p w14:paraId="1E346782" w14:textId="77777777"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School exam results</w:t>
      </w:r>
    </w:p>
    <w:p w14:paraId="7702944A" w14:textId="77777777"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Progress against key performance indicators that the board set in the school’s strategy</w:t>
      </w:r>
    </w:p>
    <w:p w14:paraId="0DDBD308" w14:textId="6BECD05E" w:rsidR="002233E6" w:rsidRPr="002233E6" w:rsidRDefault="002233E6" w:rsidP="001A3FB1">
      <w:pPr>
        <w:pStyle w:val="TNCBodyText"/>
        <w:numPr>
          <w:ilvl w:val="1"/>
          <w:numId w:val="18"/>
        </w:numPr>
        <w:ind w:left="927"/>
        <w:rPr>
          <w:rFonts w:ascii="Avenir Next LT Pro" w:hAnsi="Avenir Next LT Pro" w:cs="Arial"/>
        </w:rPr>
      </w:pPr>
      <w:r w:rsidRPr="002233E6">
        <w:rPr>
          <w:rFonts w:ascii="Avenir Next LT Pro" w:hAnsi="Avenir Next LT Pro" w:cs="Arial"/>
        </w:rPr>
        <w:t>Parent, pupil and staff surveys</w:t>
      </w:r>
    </w:p>
    <w:p w14:paraId="655618BE" w14:textId="77777777" w:rsidR="003B6140" w:rsidRPr="007B1345" w:rsidRDefault="003B6140" w:rsidP="006F2BF9">
      <w:pPr>
        <w:pStyle w:val="BFETStyle"/>
        <w:spacing w:after="80"/>
        <w:ind w:firstLine="720"/>
        <w:rPr>
          <w:lang w:val="en-GB"/>
        </w:rPr>
      </w:pPr>
    </w:p>
    <w:sectPr w:rsidR="003B6140" w:rsidRPr="007B1345" w:rsidSect="00111956">
      <w:headerReference w:type="default" r:id="rId8"/>
      <w:footerReference w:type="default" r:id="rId9"/>
      <w:headerReference w:type="first" r:id="rId10"/>
      <w:footerReference w:type="first" r:id="rId11"/>
      <w:pgSz w:w="11906" w:h="16838"/>
      <w:pgMar w:top="3430" w:right="686" w:bottom="1440" w:left="1015" w:header="493"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3874" w14:textId="77777777" w:rsidR="00B92244" w:rsidRDefault="00B92244" w:rsidP="00DF323A">
      <w:pPr>
        <w:spacing w:after="0" w:line="240" w:lineRule="auto"/>
      </w:pPr>
      <w:r>
        <w:separator/>
      </w:r>
    </w:p>
  </w:endnote>
  <w:endnote w:type="continuationSeparator" w:id="0">
    <w:p w14:paraId="0AE35557" w14:textId="77777777" w:rsidR="00B92244" w:rsidRDefault="00B92244" w:rsidP="00DF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3D2" w14:textId="4D4A26BC" w:rsidR="00DF323A" w:rsidRDefault="00DF323A" w:rsidP="00DF323A">
    <w:pPr>
      <w:pStyle w:val="Footer"/>
      <w:ind w:left="-1418" w:hanging="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C3CF" w14:textId="6F8F4AFA" w:rsidR="00DF323A" w:rsidRDefault="00DF323A" w:rsidP="00DF323A">
    <w:pPr>
      <w:pStyle w:val="Footer"/>
      <w:ind w:left="-1418" w:hanging="22"/>
    </w:pPr>
    <w:r>
      <w:rPr>
        <w:noProof/>
      </w:rPr>
      <w:drawing>
        <wp:inline distT="0" distB="0" distL="0" distR="0" wp14:anchorId="673C581F" wp14:editId="14F68008">
          <wp:extent cx="7836195" cy="803066"/>
          <wp:effectExtent l="0" t="0" r="0" b="0"/>
          <wp:docPr id="1381608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08611" name="Picture 1381608611"/>
                  <pic:cNvPicPr/>
                </pic:nvPicPr>
                <pic:blipFill>
                  <a:blip r:embed="rId1">
                    <a:extLst>
                      <a:ext uri="{28A0092B-C50C-407E-A947-70E740481C1C}">
                        <a14:useLocalDpi xmlns:a14="http://schemas.microsoft.com/office/drawing/2010/main" val="0"/>
                      </a:ext>
                    </a:extLst>
                  </a:blip>
                  <a:stretch>
                    <a:fillRect/>
                  </a:stretch>
                </pic:blipFill>
                <pic:spPr>
                  <a:xfrm>
                    <a:off x="0" y="0"/>
                    <a:ext cx="8342115" cy="8549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18E8" w14:textId="77777777" w:rsidR="00B92244" w:rsidRDefault="00B92244" w:rsidP="00DF323A">
      <w:pPr>
        <w:spacing w:after="0" w:line="240" w:lineRule="auto"/>
      </w:pPr>
      <w:r>
        <w:separator/>
      </w:r>
    </w:p>
  </w:footnote>
  <w:footnote w:type="continuationSeparator" w:id="0">
    <w:p w14:paraId="528576CD" w14:textId="77777777" w:rsidR="00B92244" w:rsidRDefault="00B92244" w:rsidP="00DF3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8CF6" w14:textId="1D0BCEE0" w:rsidR="00DF323A" w:rsidRDefault="00DF15F7" w:rsidP="00DF323A">
    <w:pPr>
      <w:pStyle w:val="Header"/>
      <w:ind w:left="-1440"/>
    </w:pPr>
    <w:r>
      <w:rPr>
        <w:noProof/>
      </w:rPr>
      <w:drawing>
        <wp:inline distT="0" distB="0" distL="0" distR="0" wp14:anchorId="151C81F0" wp14:editId="0B3DDC72">
          <wp:extent cx="7814930" cy="1326433"/>
          <wp:effectExtent l="0" t="0" r="0" b="0"/>
          <wp:docPr id="489205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5282" name="Picture 489205282"/>
                  <pic:cNvPicPr/>
                </pic:nvPicPr>
                <pic:blipFill>
                  <a:blip r:embed="rId1">
                    <a:extLst>
                      <a:ext uri="{28A0092B-C50C-407E-A947-70E740481C1C}">
                        <a14:useLocalDpi xmlns:a14="http://schemas.microsoft.com/office/drawing/2010/main" val="0"/>
                      </a:ext>
                    </a:extLst>
                  </a:blip>
                  <a:stretch>
                    <a:fillRect/>
                  </a:stretch>
                </pic:blipFill>
                <pic:spPr>
                  <a:xfrm>
                    <a:off x="0" y="0"/>
                    <a:ext cx="7971402" cy="1352991"/>
                  </a:xfrm>
                  <a:prstGeom prst="rect">
                    <a:avLst/>
                  </a:prstGeom>
                </pic:spPr>
              </pic:pic>
            </a:graphicData>
          </a:graphic>
        </wp:inline>
      </w:drawing>
    </w:r>
  </w:p>
  <w:p w14:paraId="3BC92776" w14:textId="77777777" w:rsidR="00DF323A" w:rsidRDefault="00DF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34B9" w14:textId="40003A35" w:rsidR="00DF323A" w:rsidRDefault="00DF323A" w:rsidP="00DF323A">
    <w:pPr>
      <w:pStyle w:val="Header"/>
      <w:ind w:left="-1440" w:firstLine="22"/>
    </w:pPr>
    <w:r>
      <w:rPr>
        <w:noProof/>
      </w:rPr>
      <w:drawing>
        <wp:inline distT="0" distB="0" distL="0" distR="0" wp14:anchorId="63C5E64F" wp14:editId="16A4B1B3">
          <wp:extent cx="7896223" cy="1658679"/>
          <wp:effectExtent l="0" t="0" r="3810" b="5080"/>
          <wp:docPr id="204722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28264" name="Picture 2047228264"/>
                  <pic:cNvPicPr/>
                </pic:nvPicPr>
                <pic:blipFill>
                  <a:blip r:embed="rId1">
                    <a:extLst>
                      <a:ext uri="{28A0092B-C50C-407E-A947-70E740481C1C}">
                        <a14:useLocalDpi xmlns:a14="http://schemas.microsoft.com/office/drawing/2010/main" val="0"/>
                      </a:ext>
                    </a:extLst>
                  </a:blip>
                  <a:stretch>
                    <a:fillRect/>
                  </a:stretch>
                </pic:blipFill>
                <pic:spPr>
                  <a:xfrm>
                    <a:off x="0" y="0"/>
                    <a:ext cx="8034959" cy="1687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28B0"/>
    <w:multiLevelType w:val="hybridMultilevel"/>
    <w:tmpl w:val="23DE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D8D"/>
    <w:multiLevelType w:val="hybridMultilevel"/>
    <w:tmpl w:val="0F18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D070E"/>
    <w:multiLevelType w:val="hybridMultilevel"/>
    <w:tmpl w:val="86FA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0327F"/>
    <w:multiLevelType w:val="hybridMultilevel"/>
    <w:tmpl w:val="D82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D43CC"/>
    <w:multiLevelType w:val="hybridMultilevel"/>
    <w:tmpl w:val="5232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8783C"/>
    <w:multiLevelType w:val="hybridMultilevel"/>
    <w:tmpl w:val="AF96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F75C9"/>
    <w:multiLevelType w:val="hybridMultilevel"/>
    <w:tmpl w:val="F766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F2FFE"/>
    <w:multiLevelType w:val="hybridMultilevel"/>
    <w:tmpl w:val="672EEDB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C111BD"/>
    <w:multiLevelType w:val="hybridMultilevel"/>
    <w:tmpl w:val="5DC0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749B2"/>
    <w:multiLevelType w:val="hybridMultilevel"/>
    <w:tmpl w:val="D1B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93DC0"/>
    <w:multiLevelType w:val="hybridMultilevel"/>
    <w:tmpl w:val="4FAE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25AA5"/>
    <w:multiLevelType w:val="hybridMultilevel"/>
    <w:tmpl w:val="D11CD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7172E"/>
    <w:multiLevelType w:val="hybridMultilevel"/>
    <w:tmpl w:val="45A2EAB4"/>
    <w:lvl w:ilvl="0" w:tplc="08090001">
      <w:start w:val="1"/>
      <w:numFmt w:val="bullet"/>
      <w:lvlText w:val=""/>
      <w:lvlJc w:val="left"/>
      <w:pPr>
        <w:ind w:left="720" w:hanging="360"/>
      </w:pPr>
      <w:rPr>
        <w:rFonts w:ascii="Symbol" w:hAnsi="Symbol" w:hint="default"/>
      </w:rPr>
    </w:lvl>
    <w:lvl w:ilvl="1" w:tplc="530EA8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B6236A"/>
    <w:multiLevelType w:val="hybridMultilevel"/>
    <w:tmpl w:val="BEA6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F2D94"/>
    <w:multiLevelType w:val="hybridMultilevel"/>
    <w:tmpl w:val="80F4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3645A"/>
    <w:multiLevelType w:val="hybridMultilevel"/>
    <w:tmpl w:val="521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495266">
    <w:abstractNumId w:val="15"/>
  </w:num>
  <w:num w:numId="2" w16cid:durableId="355348059">
    <w:abstractNumId w:val="0"/>
  </w:num>
  <w:num w:numId="3" w16cid:durableId="1529679409">
    <w:abstractNumId w:val="1"/>
  </w:num>
  <w:num w:numId="4" w16cid:durableId="77559986">
    <w:abstractNumId w:val="2"/>
  </w:num>
  <w:num w:numId="5" w16cid:durableId="1221090016">
    <w:abstractNumId w:val="17"/>
  </w:num>
  <w:num w:numId="6" w16cid:durableId="347873958">
    <w:abstractNumId w:val="13"/>
  </w:num>
  <w:num w:numId="7" w16cid:durableId="741025388">
    <w:abstractNumId w:val="10"/>
  </w:num>
  <w:num w:numId="8" w16cid:durableId="183902904">
    <w:abstractNumId w:val="6"/>
  </w:num>
  <w:num w:numId="9" w16cid:durableId="1206796155">
    <w:abstractNumId w:val="4"/>
  </w:num>
  <w:num w:numId="10" w16cid:durableId="761881610">
    <w:abstractNumId w:val="5"/>
  </w:num>
  <w:num w:numId="11" w16cid:durableId="1588615295">
    <w:abstractNumId w:val="11"/>
  </w:num>
  <w:num w:numId="12" w16cid:durableId="1184711113">
    <w:abstractNumId w:val="16"/>
  </w:num>
  <w:num w:numId="13" w16cid:durableId="866798355">
    <w:abstractNumId w:val="12"/>
  </w:num>
  <w:num w:numId="14" w16cid:durableId="460462131">
    <w:abstractNumId w:val="3"/>
  </w:num>
  <w:num w:numId="15" w16cid:durableId="809828352">
    <w:abstractNumId w:val="7"/>
  </w:num>
  <w:num w:numId="16" w16cid:durableId="633683612">
    <w:abstractNumId w:val="8"/>
  </w:num>
  <w:num w:numId="17" w16cid:durableId="1031691499">
    <w:abstractNumId w:val="14"/>
  </w:num>
  <w:num w:numId="18" w16cid:durableId="1598363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3A"/>
    <w:rsid w:val="000423CE"/>
    <w:rsid w:val="00111956"/>
    <w:rsid w:val="00142D24"/>
    <w:rsid w:val="001466EC"/>
    <w:rsid w:val="00147FF8"/>
    <w:rsid w:val="00185362"/>
    <w:rsid w:val="001A3FB1"/>
    <w:rsid w:val="002233E6"/>
    <w:rsid w:val="00230E50"/>
    <w:rsid w:val="002930D6"/>
    <w:rsid w:val="00377376"/>
    <w:rsid w:val="003B6140"/>
    <w:rsid w:val="003D39BA"/>
    <w:rsid w:val="003E1555"/>
    <w:rsid w:val="00462A33"/>
    <w:rsid w:val="004F446A"/>
    <w:rsid w:val="00535AE6"/>
    <w:rsid w:val="005A17A1"/>
    <w:rsid w:val="005B6AB7"/>
    <w:rsid w:val="006B7350"/>
    <w:rsid w:val="006F0D05"/>
    <w:rsid w:val="006F2BF9"/>
    <w:rsid w:val="00764000"/>
    <w:rsid w:val="007A3C51"/>
    <w:rsid w:val="007A4303"/>
    <w:rsid w:val="007A5FF9"/>
    <w:rsid w:val="007B1345"/>
    <w:rsid w:val="00885400"/>
    <w:rsid w:val="008919EC"/>
    <w:rsid w:val="008C2098"/>
    <w:rsid w:val="008D118C"/>
    <w:rsid w:val="009570B7"/>
    <w:rsid w:val="0099338C"/>
    <w:rsid w:val="009B0DD2"/>
    <w:rsid w:val="00A15033"/>
    <w:rsid w:val="00A2243D"/>
    <w:rsid w:val="00A52E3A"/>
    <w:rsid w:val="00AB32DA"/>
    <w:rsid w:val="00AF7C14"/>
    <w:rsid w:val="00B40941"/>
    <w:rsid w:val="00B4223F"/>
    <w:rsid w:val="00B76619"/>
    <w:rsid w:val="00B92244"/>
    <w:rsid w:val="00BB65B1"/>
    <w:rsid w:val="00BC2AAB"/>
    <w:rsid w:val="00C00356"/>
    <w:rsid w:val="00C6067C"/>
    <w:rsid w:val="00C86D9E"/>
    <w:rsid w:val="00C91F0B"/>
    <w:rsid w:val="00D16AB9"/>
    <w:rsid w:val="00D4493B"/>
    <w:rsid w:val="00D4679A"/>
    <w:rsid w:val="00D52A48"/>
    <w:rsid w:val="00DE4A50"/>
    <w:rsid w:val="00DF15F7"/>
    <w:rsid w:val="00DF1CA3"/>
    <w:rsid w:val="00DF323A"/>
    <w:rsid w:val="00E72EC7"/>
    <w:rsid w:val="00F90E3C"/>
    <w:rsid w:val="00FB1B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3A90"/>
  <w15:chartTrackingRefBased/>
  <w15:docId w15:val="{09F1258C-133D-7F42-B51F-8957A10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23A"/>
    <w:rPr>
      <w:rFonts w:eastAsiaTheme="majorEastAsia" w:cstheme="majorBidi"/>
      <w:color w:val="272727" w:themeColor="text1" w:themeTint="D8"/>
    </w:rPr>
  </w:style>
  <w:style w:type="paragraph" w:styleId="Title">
    <w:name w:val="Title"/>
    <w:basedOn w:val="Normal"/>
    <w:next w:val="Normal"/>
    <w:link w:val="TitleChar"/>
    <w:uiPriority w:val="10"/>
    <w:qFormat/>
    <w:rsid w:val="00DF3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23A"/>
    <w:pPr>
      <w:spacing w:before="160"/>
      <w:jc w:val="center"/>
    </w:pPr>
    <w:rPr>
      <w:i/>
      <w:iCs/>
      <w:color w:val="404040" w:themeColor="text1" w:themeTint="BF"/>
    </w:rPr>
  </w:style>
  <w:style w:type="character" w:customStyle="1" w:styleId="QuoteChar">
    <w:name w:val="Quote Char"/>
    <w:basedOn w:val="DefaultParagraphFont"/>
    <w:link w:val="Quote"/>
    <w:uiPriority w:val="29"/>
    <w:rsid w:val="00DF323A"/>
    <w:rPr>
      <w:i/>
      <w:iCs/>
      <w:color w:val="404040" w:themeColor="text1" w:themeTint="BF"/>
    </w:rPr>
  </w:style>
  <w:style w:type="paragraph" w:styleId="ListParagraph">
    <w:name w:val="List Paragraph"/>
    <w:basedOn w:val="Normal"/>
    <w:uiPriority w:val="34"/>
    <w:qFormat/>
    <w:rsid w:val="00DF323A"/>
    <w:pPr>
      <w:ind w:left="720"/>
      <w:contextualSpacing/>
    </w:pPr>
  </w:style>
  <w:style w:type="character" w:styleId="IntenseEmphasis">
    <w:name w:val="Intense Emphasis"/>
    <w:basedOn w:val="DefaultParagraphFont"/>
    <w:uiPriority w:val="21"/>
    <w:qFormat/>
    <w:rsid w:val="00DF323A"/>
    <w:rPr>
      <w:i/>
      <w:iCs/>
      <w:color w:val="0F4761" w:themeColor="accent1" w:themeShade="BF"/>
    </w:rPr>
  </w:style>
  <w:style w:type="paragraph" w:styleId="IntenseQuote">
    <w:name w:val="Intense Quote"/>
    <w:basedOn w:val="Normal"/>
    <w:next w:val="Normal"/>
    <w:link w:val="IntenseQuoteChar"/>
    <w:uiPriority w:val="30"/>
    <w:qFormat/>
    <w:rsid w:val="00DF3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23A"/>
    <w:rPr>
      <w:i/>
      <w:iCs/>
      <w:color w:val="0F4761" w:themeColor="accent1" w:themeShade="BF"/>
    </w:rPr>
  </w:style>
  <w:style w:type="character" w:styleId="IntenseReference">
    <w:name w:val="Intense Reference"/>
    <w:basedOn w:val="DefaultParagraphFont"/>
    <w:uiPriority w:val="32"/>
    <w:qFormat/>
    <w:rsid w:val="00DF323A"/>
    <w:rPr>
      <w:b/>
      <w:bCs/>
      <w:smallCaps/>
      <w:color w:val="0F4761" w:themeColor="accent1" w:themeShade="BF"/>
      <w:spacing w:val="5"/>
    </w:rPr>
  </w:style>
  <w:style w:type="paragraph" w:styleId="Header">
    <w:name w:val="header"/>
    <w:basedOn w:val="Normal"/>
    <w:link w:val="HeaderChar"/>
    <w:uiPriority w:val="99"/>
    <w:unhideWhenUsed/>
    <w:rsid w:val="00DF3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23A"/>
  </w:style>
  <w:style w:type="paragraph" w:styleId="Footer">
    <w:name w:val="footer"/>
    <w:basedOn w:val="Normal"/>
    <w:link w:val="FooterChar"/>
    <w:uiPriority w:val="99"/>
    <w:unhideWhenUsed/>
    <w:rsid w:val="00DF3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23A"/>
  </w:style>
  <w:style w:type="paragraph" w:customStyle="1" w:styleId="BFETStyle">
    <w:name w:val="BFET Style"/>
    <w:basedOn w:val="Normal"/>
    <w:qFormat/>
    <w:rsid w:val="00BB65B1"/>
    <w:pPr>
      <w:ind w:right="-330"/>
      <w:jc w:val="both"/>
    </w:pPr>
    <w:rPr>
      <w:rFonts w:ascii="Montserrat" w:hAnsi="Montserrat"/>
      <w:lang w:val="en-US"/>
    </w:rPr>
  </w:style>
  <w:style w:type="paragraph" w:customStyle="1" w:styleId="TNCBodyText">
    <w:name w:val="TNC Body Text"/>
    <w:basedOn w:val="Normal"/>
    <w:link w:val="TNCBodyTextChar"/>
    <w:qFormat/>
    <w:rsid w:val="00D4493B"/>
    <w:pPr>
      <w:spacing w:before="100" w:after="100" w:line="276" w:lineRule="auto"/>
      <w:jc w:val="both"/>
    </w:pPr>
    <w:rPr>
      <w:kern w:val="0"/>
      <w:sz w:val="22"/>
      <w:szCs w:val="22"/>
      <w:lang w:val="en-GB"/>
      <w14:ligatures w14:val="none"/>
    </w:rPr>
  </w:style>
  <w:style w:type="character" w:customStyle="1" w:styleId="TNCBodyTextChar">
    <w:name w:val="TNC Body Text Char"/>
    <w:basedOn w:val="DefaultParagraphFont"/>
    <w:link w:val="TNCBodyText"/>
    <w:rsid w:val="00D4493B"/>
    <w:rPr>
      <w:kern w:val="0"/>
      <w:sz w:val="22"/>
      <w:szCs w:val="22"/>
      <w:lang w:val="en-GB"/>
      <w14:ligatures w14:val="none"/>
    </w:rPr>
  </w:style>
  <w:style w:type="character" w:styleId="Hyperlink">
    <w:name w:val="Hyperlink"/>
    <w:basedOn w:val="DefaultParagraphFont"/>
    <w:uiPriority w:val="99"/>
    <w:unhideWhenUsed/>
    <w:rsid w:val="00FB1B56"/>
    <w:rPr>
      <w:color w:val="467886" w:themeColor="hyperlink"/>
      <w:u w:val="single"/>
    </w:rPr>
  </w:style>
  <w:style w:type="table" w:styleId="TableGrid">
    <w:name w:val="Table Grid"/>
    <w:basedOn w:val="TableNormal"/>
    <w:uiPriority w:val="59"/>
    <w:rsid w:val="007A3C5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governance-handboo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Emma O'Brien</cp:lastModifiedBy>
  <cp:revision>25</cp:revision>
  <cp:lastPrinted>2025-10-16T08:28:00Z</cp:lastPrinted>
  <dcterms:created xsi:type="dcterms:W3CDTF">2026-04-16T13:15:00Z</dcterms:created>
  <dcterms:modified xsi:type="dcterms:W3CDTF">2026-04-23T10:25:00Z</dcterms:modified>
</cp:coreProperties>
</file>