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66F5D" w:rsidR="001375E3" w:rsidRDefault="00B85158" w14:paraId="7F4BC7AD" w14:textId="77777777">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674" w:rsidP="004B1674" w:rsidRDefault="004B1674" w14:paraId="2F5EC53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ar: 5 Points 2"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id="_x0000_s1026" fillcolor="#c4d600" strokecolor="#c4d600" strokeweight="1pt" o:spt="100" adj="-11796480,,5400" path="m4,1420845r1400963,10l1833880,r432913,1420855l3667756,1420845,2534347,2298972r432931,1420849l1833880,2841678,700482,3719821,1133413,2298972,4,14208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w14:anchorId="2A1039F1">
                <v:stroke joinstyle="miter"/>
                <v:formulas/>
                <v:path textboxrect="0,0,3667760,3719830" arrowok="t" o:connecttype="custom" o:connectlocs="4,1420845;1400967,1420855;1833880,0;2266793,1420855;3667756,1420845;2534347,2298972;2967278,3719821;1833880,2841678;700482,3719821;1133413,2298972;4,1420845" o:connectangles="0,0,0,0,0,0,0,0,0,0,0"/>
                <v:textbox>
                  <w:txbxContent>
                    <w:p w:rsidR="004B1674" w:rsidP="004B1674" w:rsidRDefault="004B1674" w14:paraId="2F5EC532" w14:textId="77777777">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Pr="21F66AC1" w:rsidR="001375E3">
        <w:rPr>
          <w:rFonts w:ascii="Avenir Next LT Pro" w:hAnsi="Avenir Next LT Pro"/>
          <w:b/>
          <w:bCs/>
          <w:color w:val="205C40"/>
          <w:sz w:val="40"/>
          <w:szCs w:val="40"/>
        </w:rPr>
        <w:t xml:space="preserve">JOB </w:t>
      </w:r>
    </w:p>
    <w:p w:rsidRPr="00766F5D" w:rsidR="001375E3" w:rsidP="001375E3" w:rsidRDefault="00757EAA" w14:paraId="19384025" w14:textId="77777777">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Pr="00766F5D" w:rsidR="001375E3">
        <w:rPr>
          <w:rFonts w:ascii="Avenir Next LT Pro" w:hAnsi="Avenir Next LT Pro" w:cstheme="minorHAnsi"/>
          <w:b/>
          <w:bCs/>
          <w:color w:val="205C40"/>
          <w:sz w:val="40"/>
          <w:szCs w:val="40"/>
        </w:rPr>
        <w:t xml:space="preserve">  DESCRIPTION</w:t>
      </w:r>
    </w:p>
    <w:p w:rsidRPr="00766F5D" w:rsidR="00757EAA" w:rsidP="001375E3" w:rsidRDefault="00757EAA" w14:paraId="1E018E81" w14:textId="77777777">
      <w:pPr>
        <w:ind w:left="2880" w:firstLine="720"/>
        <w:rPr>
          <w:rFonts w:ascii="Avenir Next LT Pro" w:hAnsi="Avenir Next LT Pro" w:cstheme="minorHAnsi"/>
          <w:b/>
          <w:bCs/>
          <w:color w:val="205C40"/>
          <w:sz w:val="14"/>
          <w:szCs w:val="14"/>
        </w:rPr>
      </w:pPr>
    </w:p>
    <w:p w:rsidRPr="00766F5D" w:rsidR="00757EAA" w:rsidP="001375E3" w:rsidRDefault="00757EAA" w14:paraId="3CC4B425" w14:textId="30C70B5A">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rsidRPr="006F3FC5" w:rsidR="00757EAA" w:rsidP="539B7C7D" w:rsidRDefault="00757EAA" w14:paraId="613FBBA4" w14:textId="1B980833">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5D632C">
        <w:rPr>
          <w:rFonts w:ascii="Avenir Next LT Pro" w:hAnsi="Avenir Next LT Pro"/>
          <w:b/>
          <w:bCs/>
          <w:color w:val="385623" w:themeColor="accent6" w:themeShade="80"/>
          <w:sz w:val="28"/>
          <w:szCs w:val="28"/>
        </w:rPr>
        <w:t>Attendance Information Officer</w:t>
      </w:r>
    </w:p>
    <w:p w:rsidRPr="00766F5D" w:rsidR="00757EAA" w:rsidP="001375E3" w:rsidRDefault="00757EAA" w14:paraId="650E785D" w14:textId="77777777">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rsidRPr="00766F5D" w:rsidR="00757EAA" w:rsidP="001375E3" w:rsidRDefault="00757EAA" w14:paraId="772C764D" w14:textId="77777777">
      <w:pPr>
        <w:ind w:left="2880" w:firstLine="720"/>
        <w:rPr>
          <w:rFonts w:ascii="Avenir Next LT Pro" w:hAnsi="Avenir Next LT Pro" w:cstheme="minorHAnsi"/>
        </w:rPr>
      </w:pPr>
      <w:r w:rsidRPr="00766F5D">
        <w:rPr>
          <w:rFonts w:ascii="Avenir Next LT Pro" w:hAnsi="Avenir Next LT Pro" w:cstheme="minorHAnsi"/>
        </w:rPr>
        <w:t xml:space="preserve">    Location: </w:t>
      </w:r>
    </w:p>
    <w:p w:rsidRPr="00766F5D" w:rsidR="00995555" w:rsidP="00995555" w:rsidRDefault="00757EAA" w14:paraId="7FC36519" w14:textId="5457CBE2">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rsidRPr="00766F5D" w:rsidR="00757EAA" w:rsidP="00757EAA" w:rsidRDefault="00757EAA" w14:paraId="060A7D7A" w14:textId="77777777">
      <w:pPr>
        <w:rPr>
          <w:rFonts w:ascii="Avenir Next LT Pro" w:hAnsi="Avenir Next LT Pro" w:cstheme="minorHAnsi"/>
          <w:b/>
          <w:bCs/>
          <w:color w:val="205C40"/>
          <w:sz w:val="28"/>
          <w:szCs w:val="28"/>
        </w:rPr>
      </w:pPr>
    </w:p>
    <w:p w:rsidRPr="00766F5D" w:rsidR="00995555" w:rsidP="00757EAA" w:rsidRDefault="00995555" w14:paraId="5B7C5B81" w14:textId="77777777">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Pr="00766F5D" w:rsidR="00757EAA" w:rsidTr="00995555" w14:paraId="5987BA71" w14:textId="77777777">
        <w:tc>
          <w:tcPr>
            <w:tcW w:w="2405"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766F5D" w:rsidR="00757EAA" w:rsidP="00757EAA" w:rsidRDefault="00757EAA" w14:paraId="4CCF47D1"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944112" w:rsidR="00790CD6" w:rsidP="00790CD6" w:rsidRDefault="00790CD6" w14:paraId="7B2221D5" w14:textId="272FEEB8">
            <w:pPr>
              <w:jc w:val="both"/>
              <w:rPr>
                <w:rFonts w:eastAsia="Times New Roman" w:cstheme="minorHAnsi"/>
                <w:iCs/>
                <w:highlight w:val="yellow"/>
                <w:lang w:eastAsia="en-GB"/>
              </w:rPr>
            </w:pPr>
            <w:r w:rsidRPr="00944112">
              <w:rPr>
                <w:rStyle w:val="normaltextrun"/>
                <w:rFonts w:cstheme="minorHAnsi"/>
                <w:color w:val="000000"/>
                <w:bdr w:val="none" w:color="auto" w:sz="0" w:space="0" w:frame="1"/>
              </w:rPr>
              <w:t xml:space="preserve">To work closely with the Attendance Welfare Coordinator, providing information and analysis reports that guide decision making for improved attendance overall as well as in support of individual </w:t>
            </w:r>
            <w:r w:rsidR="00263427">
              <w:rPr>
                <w:rStyle w:val="normaltextrun"/>
                <w:rFonts w:cstheme="minorHAnsi"/>
                <w:color w:val="000000"/>
                <w:bdr w:val="none" w:color="auto" w:sz="0" w:space="0" w:frame="1"/>
              </w:rPr>
              <w:t>student</w:t>
            </w:r>
            <w:r w:rsidRPr="00944112">
              <w:rPr>
                <w:rStyle w:val="normaltextrun"/>
                <w:rFonts w:cstheme="minorHAnsi"/>
                <w:color w:val="000000"/>
                <w:bdr w:val="none" w:color="auto" w:sz="0" w:space="0" w:frame="1"/>
              </w:rPr>
              <w:t>s.</w:t>
            </w:r>
          </w:p>
          <w:p w:rsidRPr="00944112" w:rsidR="00757EAA" w:rsidP="00401223" w:rsidRDefault="00757EAA" w14:paraId="4703029A" w14:textId="58A55AA8">
            <w:pPr>
              <w:pStyle w:val="NoSpacing"/>
              <w:tabs>
                <w:tab w:val="left" w:pos="34"/>
              </w:tabs>
              <w:rPr>
                <w:rFonts w:cstheme="minorHAnsi"/>
              </w:rPr>
            </w:pPr>
          </w:p>
        </w:tc>
      </w:tr>
      <w:tr w:rsidRPr="00766F5D" w:rsidR="00757EAA" w:rsidTr="00995555" w14:paraId="7CCD8D03" w14:textId="77777777">
        <w:tc>
          <w:tcPr>
            <w:tcW w:w="2405" w:type="dxa"/>
            <w:tcBorders>
              <w:top w:val="single" w:color="FFFFFF" w:sz="4" w:space="0"/>
              <w:left w:val="single" w:color="FFFFFF" w:themeColor="background1" w:sz="4" w:space="0"/>
              <w:bottom w:val="single" w:color="FFFFFF" w:themeColor="background1" w:sz="4" w:space="0"/>
              <w:right w:val="single" w:color="FFFFFF" w:themeColor="background1" w:sz="4" w:space="0"/>
            </w:tcBorders>
          </w:tcPr>
          <w:p w:rsidRPr="00766F5D" w:rsidR="00757EAA" w:rsidP="00757EAA" w:rsidRDefault="00757EAA" w14:paraId="47085B7D" w14:textId="77777777">
            <w:pPr>
              <w:rPr>
                <w:rFonts w:ascii="Avenir Next LT Pro" w:hAnsi="Avenir Next LT Pro" w:cstheme="minorHAnsi"/>
                <w:b/>
                <w:bCs/>
                <w:color w:val="205C40"/>
                <w:sz w:val="28"/>
                <w:szCs w:val="28"/>
              </w:rPr>
            </w:pPr>
          </w:p>
        </w:tc>
        <w:tc>
          <w:tcPr>
            <w:tcW w:w="6611" w:type="dxa"/>
            <w:tcBorders>
              <w:top w:val="single" w:color="FFFFFF" w:sz="4" w:space="0"/>
              <w:left w:val="single" w:color="FFFFFF" w:themeColor="background1" w:sz="4" w:space="0"/>
              <w:bottom w:val="single" w:color="FFFFFF" w:themeColor="background1" w:sz="4" w:space="0"/>
              <w:right w:val="single" w:color="FFFFFF" w:themeColor="background1" w:sz="4" w:space="0"/>
            </w:tcBorders>
          </w:tcPr>
          <w:p w:rsidRPr="00944112" w:rsidR="00757EAA" w:rsidP="00757EAA" w:rsidRDefault="00757EAA" w14:paraId="26AAAD78" w14:textId="77777777">
            <w:pPr>
              <w:rPr>
                <w:rFonts w:cstheme="minorHAnsi"/>
                <w:b/>
                <w:bCs/>
                <w:color w:val="205C40"/>
              </w:rPr>
            </w:pPr>
          </w:p>
        </w:tc>
      </w:tr>
      <w:tr w:rsidRPr="00766F5D" w:rsidR="00DA1CBB" w:rsidTr="00995555" w14:paraId="3101A169"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74A7A3AC"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44112" w:rsidR="00DA1CBB" w:rsidP="00DA1CBB" w:rsidRDefault="00DA1CBB" w14:paraId="5E3EF9CA" w14:textId="77777777">
            <w:pPr>
              <w:rPr>
                <w:rFonts w:cstheme="minorHAnsi"/>
                <w:b/>
                <w:bCs/>
                <w:color w:val="205C40"/>
              </w:rPr>
            </w:pPr>
          </w:p>
        </w:tc>
      </w:tr>
      <w:tr w:rsidRPr="00766F5D" w:rsidR="00DA1CBB" w:rsidTr="00995555" w14:paraId="3415CF8D"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269A099F"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rsidRPr="00766F5D" w:rsidR="00DA1CBB" w:rsidP="00DA1CBB" w:rsidRDefault="00DA1CBB" w14:paraId="7E6FCF62"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44112" w:rsidR="00DA1CBB" w:rsidP="00DA1CBB" w:rsidRDefault="00DA1CBB" w14:paraId="2273CC67" w14:textId="77777777">
            <w:pPr>
              <w:rPr>
                <w:rFonts w:cstheme="minorHAnsi"/>
              </w:rPr>
            </w:pPr>
            <w:r w:rsidRPr="00944112">
              <w:rPr>
                <w:rFonts w:cstheme="minorHAnsi"/>
              </w:rPr>
              <w:t xml:space="preserve">The David Ross Education Trust (DRET) is a network of academies with a geographical focus on Northamptonshire, Leicestershire, Lincolnshire, Yorkshire/Humberside and London.  </w:t>
            </w:r>
          </w:p>
          <w:p w:rsidRPr="00944112" w:rsidR="00DA1CBB" w:rsidP="00DA1CBB" w:rsidRDefault="00DA1CBB" w14:paraId="4F75512D" w14:textId="77777777">
            <w:pPr>
              <w:rPr>
                <w:rFonts w:cstheme="minorHAnsi"/>
              </w:rPr>
            </w:pPr>
          </w:p>
          <w:p w:rsidRPr="00944112" w:rsidR="00DA1CBB" w:rsidP="00DA1CBB" w:rsidRDefault="00DA1CBB" w14:paraId="62B8094E" w14:textId="77777777">
            <w:pPr>
              <w:rPr>
                <w:rFonts w:cstheme="minorHAnsi"/>
              </w:rPr>
            </w:pPr>
            <w:r w:rsidRPr="00944112">
              <w:rPr>
                <w:rFonts w:cstheme="minorHAnsi"/>
              </w:rPr>
              <w:t>Our aim is to be the country’s leading academy chain, committed to delivering the highest educational standards alongside an unrivalled package of sporting and cultural enrichment.</w:t>
            </w:r>
          </w:p>
          <w:p w:rsidRPr="00944112" w:rsidR="00DA1CBB" w:rsidP="00DA1CBB" w:rsidRDefault="00DA1CBB" w14:paraId="4949ECFF" w14:textId="77777777">
            <w:pPr>
              <w:rPr>
                <w:rFonts w:cstheme="minorHAnsi"/>
                <w:b/>
                <w:bCs/>
                <w:color w:val="205C40"/>
              </w:rPr>
            </w:pPr>
          </w:p>
        </w:tc>
      </w:tr>
      <w:tr w:rsidRPr="00766F5D" w:rsidR="00DA1CBB" w:rsidTr="00995555" w14:paraId="2A20624C"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43C810B1"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44112" w:rsidR="00DA1CBB" w:rsidP="00DA1CBB" w:rsidRDefault="00DA1CBB" w14:paraId="6D35202D" w14:textId="77777777">
            <w:pPr>
              <w:rPr>
                <w:rFonts w:cstheme="minorHAnsi"/>
                <w:b/>
                <w:bCs/>
                <w:color w:val="205C40"/>
              </w:rPr>
            </w:pPr>
          </w:p>
        </w:tc>
      </w:tr>
      <w:tr w:rsidRPr="00766F5D" w:rsidR="00DA1CBB" w:rsidTr="00995555" w14:paraId="5E32F23B"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3767D281"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44112" w:rsidR="006E1E32" w:rsidP="006E1E32" w:rsidRDefault="006E1E32" w14:paraId="29973D09" w14:textId="77777777">
            <w:pPr>
              <w:jc w:val="both"/>
              <w:rPr>
                <w:rFonts w:eastAsia="Times New Roman" w:cstheme="minorHAnsi"/>
                <w:bCs/>
                <w:iCs/>
              </w:rPr>
            </w:pPr>
            <w:r w:rsidRPr="00944112">
              <w:rPr>
                <w:rFonts w:eastAsia="Times New Roman" w:cstheme="minorHAnsi"/>
                <w:bCs/>
                <w:iCs/>
              </w:rPr>
              <w:t>Designated Safeguarding Lead</w:t>
            </w:r>
          </w:p>
          <w:p w:rsidRPr="00944112" w:rsidR="001B383E" w:rsidP="00DA1CBB" w:rsidRDefault="001B383E" w14:paraId="29A29B77" w14:textId="77777777">
            <w:pPr>
              <w:rPr>
                <w:rFonts w:cstheme="minorHAnsi"/>
              </w:rPr>
            </w:pPr>
          </w:p>
        </w:tc>
      </w:tr>
      <w:tr w:rsidRPr="00766F5D" w:rsidR="00DA1CBB" w:rsidTr="00995555" w14:paraId="6DB7A73F"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482082" w:rsidP="00DA1CBB" w:rsidRDefault="00482082" w14:paraId="63839EA4" w14:textId="77777777">
            <w:pPr>
              <w:rPr>
                <w:rFonts w:ascii="Avenir Next LT Pro" w:hAnsi="Avenir Next LT Pro" w:cstheme="minorHAnsi"/>
                <w:b/>
                <w:bCs/>
                <w:color w:val="205C40"/>
                <w:sz w:val="28"/>
                <w:szCs w:val="28"/>
              </w:rPr>
            </w:pPr>
          </w:p>
          <w:p w:rsidRPr="00766F5D" w:rsidR="00482082" w:rsidP="00DA1CBB" w:rsidRDefault="00482082" w14:paraId="4B69F848"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44112" w:rsidR="00FA4C7B" w:rsidP="00DA1CBB" w:rsidRDefault="00FA4C7B" w14:paraId="3B66C1EA" w14:textId="77777777">
            <w:pPr>
              <w:rPr>
                <w:rFonts w:cstheme="minorHAnsi"/>
                <w:highlight w:val="yellow"/>
              </w:rPr>
            </w:pPr>
          </w:p>
          <w:p w:rsidRPr="00944112" w:rsidR="00FA4C7B" w:rsidP="00DA1CBB" w:rsidRDefault="00FA4C7B" w14:paraId="702A0D17" w14:textId="77777777">
            <w:pPr>
              <w:rPr>
                <w:rFonts w:cstheme="minorHAnsi"/>
                <w:highlight w:val="yellow"/>
              </w:rPr>
            </w:pPr>
          </w:p>
          <w:p w:rsidRPr="00944112" w:rsidR="00482082" w:rsidP="00DA1CBB" w:rsidRDefault="006E1E32" w14:paraId="2DC7DF9A" w14:textId="15D144FB">
            <w:pPr>
              <w:rPr>
                <w:rFonts w:cstheme="minorHAnsi"/>
              </w:rPr>
            </w:pPr>
            <w:r w:rsidRPr="00944112">
              <w:rPr>
                <w:rFonts w:cstheme="minorHAnsi"/>
              </w:rPr>
              <w:t>NJC7</w:t>
            </w:r>
          </w:p>
          <w:p w:rsidRPr="00944112" w:rsidR="00482082" w:rsidP="00DA1CBB" w:rsidRDefault="00482082" w14:paraId="67D9D908" w14:textId="77777777">
            <w:pPr>
              <w:rPr>
                <w:rFonts w:cstheme="minorHAnsi"/>
                <w:highlight w:val="yellow"/>
              </w:rPr>
            </w:pPr>
          </w:p>
          <w:p w:rsidRPr="00944112" w:rsidR="00482082" w:rsidP="00DA1CBB" w:rsidRDefault="00482082" w14:paraId="2B67E9B0" w14:textId="77777777">
            <w:pPr>
              <w:rPr>
                <w:rFonts w:cstheme="minorHAnsi"/>
                <w:highlight w:val="yellow"/>
              </w:rPr>
            </w:pPr>
          </w:p>
          <w:p w:rsidRPr="00944112" w:rsidR="00482082" w:rsidP="00DA1CBB" w:rsidRDefault="00482082" w14:paraId="4C7CE059" w14:textId="77777777">
            <w:pPr>
              <w:rPr>
                <w:rFonts w:cstheme="minorHAnsi"/>
                <w:highlight w:val="yellow"/>
              </w:rPr>
            </w:pPr>
          </w:p>
        </w:tc>
      </w:tr>
    </w:tbl>
    <w:p w:rsidRPr="00766F5D" w:rsidR="0074195A" w:rsidP="00127B1E" w:rsidRDefault="0074195A" w14:paraId="399811D3" w14:textId="77777777">
      <w:pPr>
        <w:jc w:val="center"/>
        <w:rPr>
          <w:rFonts w:ascii="Avenir Next LT Pro" w:hAnsi="Avenir Next LT Pro" w:cstheme="minorHAnsi"/>
          <w:b/>
          <w:bCs/>
          <w:color w:val="205C40"/>
          <w:sz w:val="40"/>
          <w:szCs w:val="40"/>
        </w:rPr>
        <w:sectPr w:rsidRPr="00766F5D" w:rsidR="0074195A" w:rsidSect="00C76A8E">
          <w:footerReference w:type="default" r:id="rId12"/>
          <w:pgSz w:w="11906" w:h="16838" w:orient="portrait"/>
          <w:pgMar w:top="1440" w:right="1440" w:bottom="1440" w:left="1440" w:header="709" w:footer="708" w:gutter="0"/>
          <w:cols w:space="708"/>
          <w:docGrid w:linePitch="360"/>
        </w:sectPr>
      </w:pPr>
    </w:p>
    <w:p w:rsidRPr="00766F5D" w:rsidR="00AC08E7" w:rsidP="00127B1E" w:rsidRDefault="00B4499A" w14:paraId="19F0A1E6" w14:textId="77777777">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Pr="00766F5D" w:rsidR="00595331">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Pr="00766F5D" w:rsidR="008B5E90">
        <w:rPr>
          <w:rFonts w:ascii="Avenir Next LT Pro" w:hAnsi="Avenir Next LT Pro" w:cstheme="minorHAnsi"/>
          <w:b/>
          <w:bCs/>
          <w:color w:val="205C40"/>
          <w:sz w:val="36"/>
          <w:szCs w:val="36"/>
        </w:rPr>
        <w:t xml:space="preserve"> AND ACCOUNTABILITIES</w:t>
      </w:r>
    </w:p>
    <w:p w:rsidRPr="00766F5D" w:rsidR="00ED040D" w:rsidP="00127B1E" w:rsidRDefault="00ED040D" w14:paraId="3F7FAAA7" w14:textId="77777777">
      <w:pPr>
        <w:jc w:val="center"/>
        <w:rPr>
          <w:rFonts w:ascii="Avenir Next LT Pro" w:hAnsi="Avenir Next LT Pro" w:cstheme="minorHAnsi"/>
          <w:b/>
          <w:bCs/>
          <w:color w:val="205C40"/>
          <w:sz w:val="6"/>
          <w:szCs w:val="6"/>
        </w:rPr>
      </w:pPr>
    </w:p>
    <w:p w:rsidRPr="00766F5D" w:rsidR="00706C35" w:rsidP="00B57410" w:rsidRDefault="00706C35" w14:paraId="20F8BADB" w14:textId="031AAA2E">
      <w:pPr>
        <w:rPr>
          <w:rFonts w:ascii="Avenir Next LT Pro" w:hAnsi="Avenir Next LT Pro" w:cstheme="minorHAnsi"/>
          <w:sz w:val="20"/>
          <w:szCs w:val="20"/>
        </w:rPr>
      </w:pPr>
      <w:r w:rsidRPr="00766F5D">
        <w:rPr>
          <w:rFonts w:ascii="Avenir Next LT Pro" w:hAnsi="Avenir Next LT Pro" w:cstheme="minorHAnsi"/>
          <w:b/>
          <w:bCs/>
          <w:color w:val="205C40"/>
          <w:sz w:val="24"/>
          <w:szCs w:val="24"/>
        </w:rPr>
        <w:t>MAIN DUTIES AND RESPONS</w:t>
      </w:r>
      <w:r w:rsidRPr="00766F5D" w:rsidR="00595331">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rsidR="00CD1B5D" w:rsidP="00944112" w:rsidRDefault="00CD1B5D" w14:paraId="582018FD"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rPr>
        <w:t>To maintain accurate and up to date attendance/lateness records both manually and electronically and to ensure ongoing monitoring of attendance for all children to promote good attendance across the school.</w:t>
      </w:r>
      <w:r>
        <w:rPr>
          <w:rStyle w:val="eop"/>
          <w:rFonts w:ascii="Calibri" w:hAnsi="Calibri" w:cs="Calibri"/>
          <w:sz w:val="22"/>
          <w:szCs w:val="22"/>
        </w:rPr>
        <w:t> </w:t>
      </w:r>
    </w:p>
    <w:p w:rsidRPr="00C203D4" w:rsidR="00CD1B5D" w:rsidP="00944112" w:rsidRDefault="00CD1B5D" w14:paraId="626B8CAE"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 xml:space="preserve">Administer a daily attendance and punctuality check each morning and support following up the daily absences by telephone/message or other means including checking the school </w:t>
      </w:r>
      <w:r w:rsidRPr="00C203D4">
        <w:rPr>
          <w:rStyle w:val="normaltextrun"/>
          <w:rFonts w:ascii="Calibri" w:hAnsi="Calibri" w:cs="Calibri"/>
          <w:color w:val="2D2D2D"/>
          <w:sz w:val="22"/>
          <w:szCs w:val="22"/>
        </w:rPr>
        <w:t>answerphone for absence messages and record appropriately on the MIS (Bromcom).</w:t>
      </w:r>
      <w:r w:rsidRPr="00C203D4">
        <w:rPr>
          <w:rStyle w:val="eop"/>
          <w:rFonts w:ascii="Calibri" w:hAnsi="Calibri" w:cs="Calibri"/>
          <w:color w:val="2D2D2D"/>
          <w:sz w:val="22"/>
          <w:szCs w:val="22"/>
        </w:rPr>
        <w:t> </w:t>
      </w:r>
    </w:p>
    <w:p w:rsidR="00CD1B5D" w:rsidP="00944112" w:rsidRDefault="00CD1B5D" w14:paraId="5300E931"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sidRPr="00C203D4">
        <w:rPr>
          <w:rStyle w:val="normaltextrun"/>
          <w:rFonts w:ascii="Calibri" w:hAnsi="Calibri" w:cs="Calibri"/>
          <w:color w:val="2D2D2D"/>
          <w:sz w:val="22"/>
          <w:szCs w:val="22"/>
        </w:rPr>
        <w:t>Process and record</w:t>
      </w:r>
      <w:r>
        <w:rPr>
          <w:rStyle w:val="normaltextrun"/>
          <w:rFonts w:ascii="Calibri" w:hAnsi="Calibri" w:cs="Calibri"/>
          <w:color w:val="2D2D2D"/>
          <w:sz w:val="22"/>
          <w:szCs w:val="22"/>
        </w:rPr>
        <w:t xml:space="preserve"> children who arrive late, leave during the school day and those who are collected late after the end of the school day.</w:t>
      </w:r>
      <w:r>
        <w:rPr>
          <w:rStyle w:val="eop"/>
          <w:rFonts w:ascii="Calibri" w:hAnsi="Calibri" w:cs="Calibri"/>
          <w:color w:val="2D2D2D"/>
          <w:sz w:val="22"/>
          <w:szCs w:val="22"/>
        </w:rPr>
        <w:t> </w:t>
      </w:r>
    </w:p>
    <w:p w:rsidR="00CD1B5D" w:rsidP="00944112" w:rsidRDefault="00CD1B5D" w14:paraId="64FEF1E9"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Process applications for any leave/special absence of children in liaison with the AWC/Senior Leaders and Headteacher.</w:t>
      </w:r>
      <w:r>
        <w:rPr>
          <w:rStyle w:val="eop"/>
          <w:rFonts w:ascii="Calibri" w:hAnsi="Calibri" w:cs="Calibri"/>
          <w:color w:val="2D2D2D"/>
          <w:sz w:val="22"/>
          <w:szCs w:val="22"/>
        </w:rPr>
        <w:t> </w:t>
      </w:r>
    </w:p>
    <w:p w:rsidR="002D0629" w:rsidP="00944112" w:rsidRDefault="002D0629" w14:paraId="25D5A5CA"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engage with, attend and provide information for focal meetings with leaders responsible for key cohorts of students e.g., SEND, disadvantaged.</w:t>
      </w:r>
    </w:p>
    <w:p w:rsidR="002D0629" w:rsidP="00944112" w:rsidRDefault="002D0629" w14:paraId="1046036A"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Regularly meet with AWC to review attendance and punctuality data.</w:t>
      </w:r>
    </w:p>
    <w:p w:rsidR="002D0629" w:rsidP="6B5755A9" w:rsidRDefault="002D0629" w14:paraId="55D5AD6F" w14:textId="77B89302">
      <w:pPr>
        <w:pStyle w:val="paragraph"/>
        <w:numPr>
          <w:ilvl w:val="0"/>
          <w:numId w:val="10"/>
        </w:numPr>
        <w:spacing w:before="0" w:beforeAutospacing="off" w:after="0" w:afterAutospacing="off"/>
        <w:ind w:left="567" w:hanging="567"/>
        <w:textAlignment w:val="baseline"/>
        <w:rPr>
          <w:rFonts w:ascii="Calibri" w:hAnsi="Calibri" w:cs="Calibri"/>
          <w:sz w:val="22"/>
          <w:szCs w:val="22"/>
        </w:rPr>
      </w:pPr>
      <w:r w:rsidRPr="6B5755A9" w:rsidR="002D0629">
        <w:rPr>
          <w:rStyle w:val="normaltextrun"/>
          <w:rFonts w:ascii="Calibri" w:hAnsi="Calibri" w:cs="Calibri"/>
          <w:color w:val="2D2D2D"/>
          <w:sz w:val="22"/>
          <w:szCs w:val="22"/>
        </w:rPr>
        <w:t xml:space="preserve">To ensure, alongside SLT, that staff complete registers accurately and in </w:t>
      </w:r>
      <w:r w:rsidRPr="6B5755A9" w:rsidR="002D0629">
        <w:rPr>
          <w:rStyle w:val="normaltextrun"/>
          <w:rFonts w:ascii="Calibri" w:hAnsi="Calibri" w:cs="Calibri"/>
          <w:color w:val="2D2D2D"/>
          <w:sz w:val="22"/>
          <w:szCs w:val="22"/>
        </w:rPr>
        <w:t>a timely</w:t>
      </w:r>
      <w:r w:rsidRPr="6B5755A9" w:rsidR="002D0629">
        <w:rPr>
          <w:rStyle w:val="normaltextrun"/>
          <w:rFonts w:ascii="Calibri" w:hAnsi="Calibri" w:cs="Calibri"/>
          <w:color w:val="2D2D2D"/>
          <w:sz w:val="22"/>
          <w:szCs w:val="22"/>
        </w:rPr>
        <w:t xml:space="preserve"> way in line with statutory regulations and to ensure that any discrepancies are amended.</w:t>
      </w:r>
    </w:p>
    <w:p w:rsidR="002D0629" w:rsidP="6B5755A9" w:rsidRDefault="002D0629" w14:paraId="3E2BBCBC" w14:textId="5C3E7EC7">
      <w:pPr>
        <w:pStyle w:val="paragraph"/>
        <w:numPr>
          <w:ilvl w:val="0"/>
          <w:numId w:val="10"/>
        </w:numPr>
        <w:spacing w:before="0" w:beforeAutospacing="off" w:after="0" w:afterAutospacing="off"/>
        <w:ind w:left="567" w:hanging="567"/>
        <w:textAlignment w:val="baseline"/>
        <w:rPr>
          <w:rFonts w:ascii="Calibri" w:hAnsi="Calibri" w:cs="Calibri"/>
          <w:sz w:val="22"/>
          <w:szCs w:val="22"/>
        </w:rPr>
      </w:pPr>
      <w:r w:rsidRPr="6B5755A9" w:rsidR="002D0629">
        <w:rPr>
          <w:rStyle w:val="normaltextrun"/>
          <w:rFonts w:ascii="Calibri" w:hAnsi="Calibri" w:cs="Calibri"/>
          <w:color w:val="2D2D2D"/>
          <w:sz w:val="22"/>
          <w:szCs w:val="22"/>
        </w:rPr>
        <w:t>Check and follow-up any missing or anomalous marks in registers</w:t>
      </w:r>
      <w:r w:rsidRPr="6B5755A9" w:rsidR="4816EF9F">
        <w:rPr>
          <w:rStyle w:val="normaltextrun"/>
          <w:rFonts w:ascii="Calibri" w:hAnsi="Calibri" w:cs="Calibri"/>
          <w:color w:val="2D2D2D"/>
          <w:sz w:val="22"/>
          <w:szCs w:val="22"/>
        </w:rPr>
        <w:t>.</w:t>
      </w:r>
    </w:p>
    <w:p w:rsidR="002D0629" w:rsidP="6B5755A9" w:rsidRDefault="002D0629" w14:paraId="3B39820A" w14:textId="1CD26EE3">
      <w:pPr>
        <w:pStyle w:val="paragraph"/>
        <w:numPr>
          <w:ilvl w:val="0"/>
          <w:numId w:val="10"/>
        </w:numPr>
        <w:spacing w:before="0" w:beforeAutospacing="off" w:after="0" w:afterAutospacing="off"/>
        <w:ind w:left="567" w:hanging="567"/>
        <w:textAlignment w:val="baseline"/>
        <w:rPr>
          <w:rFonts w:ascii="Calibri" w:hAnsi="Calibri" w:cs="Calibri"/>
          <w:sz w:val="22"/>
          <w:szCs w:val="22"/>
        </w:rPr>
      </w:pPr>
      <w:r w:rsidRPr="6B5755A9" w:rsidR="002D0629">
        <w:rPr>
          <w:rStyle w:val="normaltextrun"/>
          <w:rFonts w:ascii="Calibri" w:hAnsi="Calibri" w:cs="Calibri"/>
          <w:color w:val="2D2D2D"/>
          <w:sz w:val="22"/>
          <w:szCs w:val="22"/>
        </w:rPr>
        <w:t xml:space="preserve">Input attendance data onto school MIS and generate reports as </w:t>
      </w:r>
      <w:r w:rsidRPr="6B5755A9" w:rsidR="002D0629">
        <w:rPr>
          <w:rStyle w:val="normaltextrun"/>
          <w:rFonts w:ascii="Calibri" w:hAnsi="Calibri" w:cs="Calibri"/>
          <w:color w:val="2D2D2D"/>
          <w:sz w:val="22"/>
          <w:szCs w:val="22"/>
        </w:rPr>
        <w:t>required</w:t>
      </w:r>
      <w:r w:rsidRPr="6B5755A9" w:rsidR="359DB826">
        <w:rPr>
          <w:rStyle w:val="normaltextrun"/>
          <w:rFonts w:ascii="Calibri" w:hAnsi="Calibri" w:cs="Calibri"/>
          <w:color w:val="2D2D2D"/>
          <w:sz w:val="22"/>
          <w:szCs w:val="22"/>
        </w:rPr>
        <w:t>.</w:t>
      </w:r>
    </w:p>
    <w:p w:rsidR="002D0629" w:rsidP="00944112" w:rsidRDefault="002D0629" w14:paraId="283EA023"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administer Fixed Penalty Notices.</w:t>
      </w:r>
    </w:p>
    <w:p w:rsidR="002D0629" w:rsidP="00944112" w:rsidRDefault="002D0629" w14:paraId="059224C7"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ensure attendance / punctuality letters are consistently sent out through collaboration with the AWC.</w:t>
      </w:r>
    </w:p>
    <w:p w:rsidR="002D0629" w:rsidP="00944112" w:rsidRDefault="002D0629" w14:paraId="52999366"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attend Attendance Panel meetings and take minutes.</w:t>
      </w:r>
    </w:p>
    <w:p w:rsidR="002D0629" w:rsidP="6B5755A9" w:rsidRDefault="002D0629" w14:paraId="68B8973B" w14:textId="6D1965FA">
      <w:pPr>
        <w:pStyle w:val="paragraph"/>
        <w:numPr>
          <w:ilvl w:val="0"/>
          <w:numId w:val="10"/>
        </w:numPr>
        <w:spacing w:before="0" w:beforeAutospacing="off" w:after="0" w:afterAutospacing="off"/>
        <w:ind w:left="567" w:hanging="567"/>
        <w:textAlignment w:val="baseline"/>
        <w:rPr>
          <w:rFonts w:ascii="Calibri" w:hAnsi="Calibri" w:cs="Calibri"/>
          <w:sz w:val="22"/>
          <w:szCs w:val="22"/>
        </w:rPr>
      </w:pPr>
      <w:r w:rsidRPr="6B5755A9" w:rsidR="002D0629">
        <w:rPr>
          <w:rStyle w:val="normaltextrun"/>
          <w:rFonts w:ascii="Calibri" w:hAnsi="Calibri" w:cs="Calibri"/>
          <w:color w:val="2D2D2D"/>
          <w:sz w:val="22"/>
          <w:szCs w:val="22"/>
        </w:rPr>
        <w:t xml:space="preserve">To make/receive phone calls to/from parents </w:t>
      </w:r>
      <w:r w:rsidRPr="6B5755A9" w:rsidR="002D0629">
        <w:rPr>
          <w:rStyle w:val="normaltextrun"/>
          <w:rFonts w:ascii="Calibri" w:hAnsi="Calibri" w:cs="Calibri"/>
          <w:color w:val="2D2D2D"/>
          <w:sz w:val="22"/>
          <w:szCs w:val="22"/>
        </w:rPr>
        <w:t>regarding</w:t>
      </w:r>
      <w:r w:rsidRPr="6B5755A9" w:rsidR="002D0629">
        <w:rPr>
          <w:rStyle w:val="normaltextrun"/>
          <w:rFonts w:ascii="Calibri" w:hAnsi="Calibri" w:cs="Calibri"/>
          <w:color w:val="2D2D2D"/>
          <w:sz w:val="22"/>
          <w:szCs w:val="22"/>
        </w:rPr>
        <w:t xml:space="preserve"> absence of students from school.</w:t>
      </w:r>
    </w:p>
    <w:p w:rsidR="002D0629" w:rsidP="00944112" w:rsidRDefault="002D0629" w14:paraId="0C8E90D9"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deal with student enquiries efficiently and in a pleasant and courteous manner.</w:t>
      </w:r>
      <w:r>
        <w:rPr>
          <w:rStyle w:val="eop"/>
          <w:rFonts w:ascii="Calibri" w:hAnsi="Calibri" w:cs="Calibri"/>
          <w:color w:val="2D2D2D"/>
          <w:sz w:val="22"/>
          <w:szCs w:val="22"/>
        </w:rPr>
        <w:t> </w:t>
      </w:r>
    </w:p>
    <w:p w:rsidR="002D0629" w:rsidP="00944112" w:rsidRDefault="002D0629" w14:paraId="54578336"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maintain accurate and up to date records of attendance in line with legislation.</w:t>
      </w:r>
    </w:p>
    <w:p w:rsidR="002D0629" w:rsidP="00944112" w:rsidRDefault="002D0629" w14:paraId="3C51992A"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To carry out full, accurate and up to date administration of letters, files or other documentation for attendance.</w:t>
      </w:r>
    </w:p>
    <w:p w:rsidR="002D0629" w:rsidP="00944112" w:rsidRDefault="002D0629" w14:paraId="216DC557"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Assist AWC with targeted home visits /meetings and any attendance/punctuality data that may be required to support case work.</w:t>
      </w:r>
      <w:r>
        <w:rPr>
          <w:rStyle w:val="eop"/>
          <w:rFonts w:ascii="Calibri" w:hAnsi="Calibri" w:cs="Calibri"/>
          <w:color w:val="2D2D2D"/>
          <w:sz w:val="22"/>
          <w:szCs w:val="22"/>
        </w:rPr>
        <w:t> </w:t>
      </w:r>
    </w:p>
    <w:p w:rsidR="002D0629" w:rsidP="6B5755A9" w:rsidRDefault="002D0629" w14:paraId="0B384F5C" w14:textId="1C0B6599">
      <w:pPr>
        <w:pStyle w:val="paragraph"/>
        <w:numPr>
          <w:ilvl w:val="0"/>
          <w:numId w:val="10"/>
        </w:numPr>
        <w:spacing w:before="0" w:beforeAutospacing="off" w:after="0" w:afterAutospacing="off"/>
        <w:ind w:left="567" w:hanging="567"/>
        <w:textAlignment w:val="baseline"/>
        <w:rPr>
          <w:rFonts w:ascii="Calibri" w:hAnsi="Calibri" w:cs="Calibri"/>
          <w:sz w:val="22"/>
          <w:szCs w:val="22"/>
        </w:rPr>
      </w:pPr>
      <w:r w:rsidRPr="6B5755A9" w:rsidR="002D0629">
        <w:rPr>
          <w:rStyle w:val="normaltextrun"/>
          <w:rFonts w:ascii="Calibri" w:hAnsi="Calibri" w:cs="Calibri"/>
          <w:color w:val="2D2D2D"/>
          <w:sz w:val="22"/>
          <w:szCs w:val="22"/>
        </w:rPr>
        <w:t xml:space="preserve">Liaise with </w:t>
      </w:r>
      <w:r w:rsidRPr="6B5755A9" w:rsidR="0A55D0C9">
        <w:rPr>
          <w:rStyle w:val="normaltextrun"/>
          <w:rFonts w:ascii="Calibri" w:hAnsi="Calibri" w:cs="Calibri"/>
          <w:color w:val="2D2D2D"/>
          <w:sz w:val="22"/>
          <w:szCs w:val="22"/>
        </w:rPr>
        <w:t xml:space="preserve">the </w:t>
      </w:r>
      <w:r w:rsidRPr="6B5755A9" w:rsidR="002D0629">
        <w:rPr>
          <w:rStyle w:val="normaltextrun"/>
          <w:rFonts w:ascii="Calibri" w:hAnsi="Calibri" w:cs="Calibri"/>
          <w:color w:val="2D2D2D"/>
          <w:sz w:val="22"/>
          <w:szCs w:val="22"/>
        </w:rPr>
        <w:t xml:space="preserve">Data </w:t>
      </w:r>
      <w:r w:rsidRPr="6B5755A9" w:rsidR="2D3CEAD1">
        <w:rPr>
          <w:rStyle w:val="normaltextrun"/>
          <w:rFonts w:ascii="Calibri" w:hAnsi="Calibri" w:cs="Calibri"/>
          <w:color w:val="2D2D2D"/>
          <w:sz w:val="22"/>
          <w:szCs w:val="22"/>
        </w:rPr>
        <w:t>and</w:t>
      </w:r>
      <w:r w:rsidRPr="6B5755A9" w:rsidR="002D0629">
        <w:rPr>
          <w:rStyle w:val="normaltextrun"/>
          <w:rFonts w:ascii="Calibri" w:hAnsi="Calibri" w:cs="Calibri"/>
          <w:color w:val="2D2D2D"/>
          <w:sz w:val="22"/>
          <w:szCs w:val="22"/>
        </w:rPr>
        <w:t xml:space="preserve"> Exams Officer to ensure Attendance and Assessment records are </w:t>
      </w:r>
      <w:r w:rsidRPr="6B5755A9" w:rsidR="002D0629">
        <w:rPr>
          <w:rStyle w:val="normaltextrun"/>
          <w:rFonts w:ascii="Calibri" w:hAnsi="Calibri" w:cs="Calibri"/>
          <w:color w:val="2D2D2D"/>
          <w:sz w:val="22"/>
          <w:szCs w:val="22"/>
        </w:rPr>
        <w:t>accurate</w:t>
      </w:r>
      <w:r w:rsidRPr="6B5755A9" w:rsidR="002D0629">
        <w:rPr>
          <w:rStyle w:val="normaltextrun"/>
          <w:rFonts w:ascii="Calibri" w:hAnsi="Calibri" w:cs="Calibri"/>
          <w:color w:val="2D2D2D"/>
          <w:sz w:val="22"/>
          <w:szCs w:val="22"/>
        </w:rPr>
        <w:t xml:space="preserve"> and up to date in conjunction with the Trust Assessment calendar.</w:t>
      </w:r>
      <w:r w:rsidRPr="6B5755A9" w:rsidR="002D0629">
        <w:rPr>
          <w:rStyle w:val="eop"/>
          <w:rFonts w:ascii="Calibri" w:hAnsi="Calibri" w:cs="Calibri"/>
          <w:color w:val="2D2D2D"/>
          <w:sz w:val="22"/>
          <w:szCs w:val="22"/>
        </w:rPr>
        <w:t> </w:t>
      </w:r>
    </w:p>
    <w:p w:rsidR="002D0629" w:rsidP="00944112" w:rsidRDefault="002D0629" w14:paraId="0A492B1B"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Regularly attend CPD around the use of Bromcom.</w:t>
      </w:r>
      <w:r>
        <w:rPr>
          <w:rStyle w:val="eop"/>
          <w:rFonts w:ascii="Calibri" w:hAnsi="Calibri" w:cs="Calibri"/>
          <w:color w:val="2D2D2D"/>
          <w:sz w:val="22"/>
          <w:szCs w:val="22"/>
        </w:rPr>
        <w:t> </w:t>
      </w:r>
    </w:p>
    <w:p w:rsidR="002D0629" w:rsidP="00944112" w:rsidRDefault="002D0629" w14:paraId="34076481" w14:textId="77777777">
      <w:pPr>
        <w:pStyle w:val="paragraph"/>
        <w:numPr>
          <w:ilvl w:val="0"/>
          <w:numId w:val="1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color w:val="2D2D2D"/>
          <w:sz w:val="22"/>
          <w:szCs w:val="22"/>
        </w:rPr>
        <w:t>Work with colleagues to raise MCAS uptake with parents.</w:t>
      </w:r>
      <w:r>
        <w:rPr>
          <w:rStyle w:val="eop"/>
          <w:rFonts w:ascii="Calibri" w:hAnsi="Calibri" w:cs="Calibri"/>
          <w:color w:val="2D2D2D"/>
          <w:sz w:val="22"/>
          <w:szCs w:val="22"/>
        </w:rPr>
        <w:t> </w:t>
      </w:r>
    </w:p>
    <w:p w:rsidR="002D0629" w:rsidP="002D0629" w:rsidRDefault="002D0629" w14:paraId="1AA77D76" w14:textId="77777777">
      <w:pPr>
        <w:pStyle w:val="NoSpacing"/>
        <w:tabs>
          <w:tab w:val="left" w:pos="34"/>
        </w:tabs>
        <w:jc w:val="both"/>
        <w:rPr>
          <w:rFonts w:ascii="Calibri" w:hAnsi="Calibri" w:cs="Calibri"/>
          <w:b/>
          <w:color w:val="00B050"/>
        </w:rPr>
      </w:pPr>
    </w:p>
    <w:p w:rsidRPr="00766F5D" w:rsidR="00BD507B" w:rsidP="00BD507B" w:rsidRDefault="00BD507B" w14:paraId="42E90772"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rsidRPr="003B5F9D" w:rsidR="00BD507B" w:rsidP="6C1DCF31" w:rsidRDefault="00BD507B" w14:paraId="00CF8559"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Enactment of Health and Safety requirements and initiatives as directed.</w:t>
      </w:r>
    </w:p>
    <w:p w:rsidRPr="003B5F9D" w:rsidR="00BD507B" w:rsidP="6C1DCF31" w:rsidRDefault="00BD507B" w14:paraId="343B4E25"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Ensuring compliance with Data Protection legislation.</w:t>
      </w:r>
    </w:p>
    <w:p w:rsidRPr="003B5F9D" w:rsidR="00BD507B" w:rsidP="6C1DCF31" w:rsidRDefault="00BD507B" w14:paraId="6231BEBA"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Operating at all times within the School’s Equal Opportunities framework.</w:t>
      </w:r>
    </w:p>
    <w:p w:rsidRPr="003B5F9D" w:rsidR="00BD507B" w:rsidP="6C1DCF31" w:rsidRDefault="00BD507B" w14:paraId="296ED062"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 xml:space="preserve">Commitment and contribution to improving standards for students as </w:t>
      </w:r>
      <w:r w:rsidRPr="6C1DCF31" w:rsidR="00BD507B">
        <w:rPr>
          <w:rFonts w:ascii="Calibri" w:hAnsi="Calibri" w:cs="Calibri"/>
          <w:lang w:val="en-US"/>
        </w:rPr>
        <w:t>appropriate</w:t>
      </w:r>
      <w:r w:rsidRPr="6C1DCF31" w:rsidR="00BD507B">
        <w:rPr>
          <w:rFonts w:ascii="Calibri" w:hAnsi="Calibri" w:cs="Calibri"/>
          <w:lang w:val="en-US"/>
        </w:rPr>
        <w:t>.</w:t>
      </w:r>
    </w:p>
    <w:p w:rsidRPr="003B5F9D" w:rsidR="00BD507B" w:rsidP="6C1DCF31" w:rsidRDefault="00BD507B" w14:paraId="1B3D037D"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Acknowledging customer care and quality initiatives.</w:t>
      </w:r>
    </w:p>
    <w:p w:rsidRPr="003B5F9D" w:rsidR="00BD507B" w:rsidP="6C1DCF31" w:rsidRDefault="00BD507B" w14:paraId="0EBB9B9E"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Help to implement quality assurance procedures.</w:t>
      </w:r>
    </w:p>
    <w:p w:rsidRPr="003B5F9D" w:rsidR="00BD507B" w:rsidP="6C1DCF31" w:rsidRDefault="00BD507B" w14:paraId="4E4DC1A2" w14:textId="7777777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Participate in the School’s self-evaluation and review cycle.</w:t>
      </w:r>
    </w:p>
    <w:p w:rsidRPr="003B5F9D" w:rsidR="00BD507B" w:rsidP="6C1DCF31" w:rsidRDefault="00BD507B" w14:paraId="180A3766" w14:textId="25F06287">
      <w:pPr>
        <w:pStyle w:val="NoSpacing"/>
        <w:numPr>
          <w:ilvl w:val="0"/>
          <w:numId w:val="1"/>
        </w:numPr>
        <w:tabs>
          <w:tab w:val="left" w:pos="34"/>
        </w:tabs>
        <w:ind w:left="540" w:hanging="540"/>
        <w:rPr>
          <w:rFonts w:ascii="Calibri" w:hAnsi="Calibri" w:cs="Calibri"/>
          <w:lang w:val="en-US"/>
        </w:rPr>
      </w:pPr>
      <w:r w:rsidRPr="6C1DCF31" w:rsidR="00BD507B">
        <w:rPr>
          <w:rFonts w:ascii="Calibri" w:hAnsi="Calibri" w:cs="Calibri"/>
          <w:lang w:val="en-US"/>
        </w:rPr>
        <w:t xml:space="preserve">Implement modifications and </w:t>
      </w:r>
      <w:r w:rsidRPr="6C1DCF31" w:rsidR="4171A928">
        <w:rPr>
          <w:rFonts w:ascii="Calibri" w:hAnsi="Calibri" w:cs="Calibri"/>
          <w:lang w:val="en-US"/>
        </w:rPr>
        <w:t>improvements</w:t>
      </w:r>
      <w:r w:rsidRPr="6C1DCF31" w:rsidR="00BD507B">
        <w:rPr>
          <w:rFonts w:ascii="Calibri" w:hAnsi="Calibri" w:cs="Calibri"/>
          <w:lang w:val="en-US"/>
        </w:rPr>
        <w:t xml:space="preserve"> where </w:t>
      </w:r>
      <w:r w:rsidRPr="6C1DCF31" w:rsidR="00BD507B">
        <w:rPr>
          <w:rFonts w:ascii="Calibri" w:hAnsi="Calibri" w:cs="Calibri"/>
          <w:lang w:val="en-US"/>
        </w:rPr>
        <w:t>required</w:t>
      </w:r>
      <w:r w:rsidRPr="6C1DCF31" w:rsidR="00BD507B">
        <w:rPr>
          <w:rFonts w:ascii="Calibri" w:hAnsi="Calibri" w:cs="Calibri"/>
          <w:lang w:val="en-US"/>
        </w:rPr>
        <w:t>.</w:t>
      </w:r>
    </w:p>
    <w:p w:rsidRPr="00766F5D" w:rsidR="005E5ACC" w:rsidP="001E1188" w:rsidRDefault="005E5ACC" w14:paraId="519B0561" w14:textId="77777777">
      <w:pPr>
        <w:jc w:val="center"/>
        <w:rPr>
          <w:rFonts w:ascii="Avenir Next LT Pro" w:hAnsi="Avenir Next LT Pro" w:cstheme="minorHAnsi"/>
          <w:b/>
          <w:bCs/>
          <w:color w:val="205C40"/>
          <w:sz w:val="20"/>
          <w:szCs w:val="20"/>
        </w:rPr>
        <w:sectPr w:rsidRPr="00766F5D" w:rsidR="005E5ACC" w:rsidSect="00C76A8E">
          <w:pgSz w:w="11906" w:h="16838" w:orient="portrait"/>
          <w:pgMar w:top="1440" w:right="1440" w:bottom="1440" w:left="1440" w:header="709" w:footer="708" w:gutter="0"/>
          <w:cols w:space="708"/>
          <w:docGrid w:linePitch="360"/>
        </w:sectPr>
      </w:pPr>
    </w:p>
    <w:p w:rsidRPr="00766F5D" w:rsidR="00C76A8E" w:rsidP="00ED040D" w:rsidRDefault="00C76A8E" w14:paraId="432A3BF2" w14:textId="77777777">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rsidRPr="00E844A9" w:rsidR="00740886" w:rsidP="6C1DCF31" w:rsidRDefault="00740886" w14:paraId="464A875C" w14:textId="77777777">
      <w:pPr>
        <w:spacing w:after="0" w:afterAutospacing="off" w:line="240" w:lineRule="auto"/>
        <w:rPr>
          <w:rFonts w:ascii="Calibri" w:hAnsi="Calibri" w:cs="Calibri"/>
        </w:rPr>
      </w:pPr>
      <w:r w:rsidRPr="6C1DCF31" w:rsidR="00740886">
        <w:rPr>
          <w:rFonts w:ascii="Calibri" w:hAnsi="Calibri" w:cs="Calibri"/>
        </w:rPr>
        <w:t>Your application will be reviewed against the essential and desirable criteria listed below.</w:t>
      </w:r>
    </w:p>
    <w:p w:rsidR="6C1DCF31" w:rsidP="6C1DCF31" w:rsidRDefault="6C1DCF31" w14:paraId="11E2111D" w14:textId="4FF61582">
      <w:pPr>
        <w:spacing w:after="0" w:afterAutospacing="off" w:line="240" w:lineRule="auto"/>
        <w:rPr>
          <w:rFonts w:ascii="Calibri" w:hAnsi="Calibri" w:cs="Calibri"/>
        </w:rPr>
      </w:pPr>
    </w:p>
    <w:p w:rsidRPr="00E844A9" w:rsidR="00740886" w:rsidP="6C1DCF31" w:rsidRDefault="00740886" w14:paraId="3437A319" w14:textId="77777777">
      <w:pPr>
        <w:spacing w:after="0" w:afterAutospacing="off" w:line="240" w:lineRule="auto"/>
        <w:rPr>
          <w:rFonts w:ascii="Calibri" w:hAnsi="Calibri" w:cs="Calibri"/>
        </w:rPr>
      </w:pPr>
      <w:r w:rsidRPr="6C1DCF31" w:rsidR="00740886">
        <w:rPr>
          <w:rFonts w:ascii="Calibri" w:hAnsi="Calibri" w:cs="Calibri"/>
        </w:rPr>
        <w:t xml:space="preserve">Applicants are strongly </w:t>
      </w:r>
      <w:r w:rsidRPr="6C1DCF31" w:rsidR="00740886">
        <w:rPr>
          <w:rFonts w:ascii="Calibri" w:hAnsi="Calibri" w:cs="Calibri"/>
        </w:rPr>
        <w:t>advised to explicitly state</w:t>
      </w:r>
      <w:r w:rsidRPr="6C1DCF31" w:rsidR="00740886">
        <w:rPr>
          <w:rFonts w:ascii="Calibri" w:hAnsi="Calibri" w:cs="Calibri"/>
        </w:rPr>
        <w:t xml:space="preserve"> and evidence how they meet each of the essential (and desirable) criteria in their application. Stages of assessment are as follows:</w:t>
      </w:r>
    </w:p>
    <w:p w:rsidR="6C1DCF31" w:rsidP="6C1DCF31" w:rsidRDefault="6C1DCF31" w14:paraId="04625CAA" w14:textId="0B173C45">
      <w:pPr>
        <w:spacing w:after="0" w:afterAutospacing="off" w:line="240" w:lineRule="auto"/>
        <w:rPr>
          <w:rFonts w:ascii="Calibri" w:hAnsi="Calibri" w:cs="Calibri"/>
        </w:rPr>
      </w:pPr>
    </w:p>
    <w:p w:rsidRPr="00E844A9" w:rsidR="00740886" w:rsidP="6C1DCF31" w:rsidRDefault="00740886" w14:paraId="5578C548" w14:textId="77777777">
      <w:pPr>
        <w:spacing w:after="0" w:afterAutospacing="off" w:line="240" w:lineRule="auto"/>
        <w:rPr>
          <w:rFonts w:ascii="Calibri" w:hAnsi="Calibri" w:cs="Calibri"/>
        </w:rPr>
      </w:pPr>
      <w:r w:rsidRPr="6C1DCF31" w:rsidR="00740886">
        <w:rPr>
          <w:rFonts w:ascii="Calibri" w:hAnsi="Calibri" w:cs="Calibri"/>
        </w:rPr>
        <w:t>1 – Application</w:t>
      </w:r>
    </w:p>
    <w:p w:rsidRPr="00E844A9" w:rsidR="00C76A8E" w:rsidP="6C1DCF31" w:rsidRDefault="00740886" w14:paraId="35364CB3" w14:textId="0CB851E4">
      <w:pPr>
        <w:spacing w:after="0" w:afterAutospacing="off" w:line="240" w:lineRule="auto"/>
        <w:rPr>
          <w:rFonts w:ascii="Calibri" w:hAnsi="Calibri" w:cs="Calibri"/>
        </w:rPr>
      </w:pPr>
      <w:r w:rsidRPr="00E844A9" w:rsidR="6FE63992">
        <w:rPr>
          <w:rFonts w:ascii="Calibri" w:hAnsi="Calibri" w:cs="Calibri"/>
        </w:rPr>
        <w:t>2</w:t>
      </w:r>
      <w:r w:rsidRPr="00E844A9" w:rsidR="00740886">
        <w:rPr>
          <w:rFonts w:ascii="Calibri" w:hAnsi="Calibri" w:cs="Calibri"/>
        </w:rPr>
        <w:t xml:space="preserve"> – Interview</w:t>
      </w:r>
      <w:r w:rsidRPr="00E844A9">
        <w:rPr>
          <w:rFonts w:ascii="Calibri" w:hAnsi="Calibri" w:cs="Calibri"/>
        </w:rPr>
        <w:cr/>
      </w:r>
    </w:p>
    <w:tbl>
      <w:tblPr>
        <w:tblStyle w:val="TableGrid"/>
        <w:tblW w:w="0" w:type="auto"/>
        <w:tblLook w:val="04A0" w:firstRow="1" w:lastRow="0" w:firstColumn="1" w:lastColumn="0" w:noHBand="0" w:noVBand="1"/>
      </w:tblPr>
      <w:tblGrid>
        <w:gridCol w:w="5240"/>
        <w:gridCol w:w="1272"/>
        <w:gridCol w:w="1240"/>
        <w:gridCol w:w="1264"/>
      </w:tblGrid>
      <w:tr w:rsidRPr="00766F5D" w:rsidR="00AA736A" w:rsidTr="6C1DCF31" w14:paraId="32978E94" w14:textId="77777777">
        <w:tc>
          <w:tcPr>
            <w:tcW w:w="5240" w:type="dxa"/>
            <w:tcBorders>
              <w:top w:val="single" w:color="FFFFFF" w:themeColor="background1" w:sz="4" w:space="0"/>
              <w:left w:val="single" w:color="FFFFFF" w:themeColor="background1" w:sz="4" w:space="0"/>
            </w:tcBorders>
            <w:tcMar/>
          </w:tcPr>
          <w:p w:rsidRPr="00766F5D" w:rsidR="00AA736A" w:rsidP="00ED040D" w:rsidRDefault="00AA736A" w14:paraId="7F292E6A" w14:textId="77777777">
            <w:pPr>
              <w:spacing w:before="240"/>
              <w:rPr>
                <w:rFonts w:ascii="Avenir Next LT Pro" w:hAnsi="Avenir Next LT Pro" w:cstheme="minorHAnsi"/>
                <w:b/>
                <w:bCs/>
                <w:color w:val="205C40"/>
                <w:sz w:val="28"/>
                <w:szCs w:val="28"/>
              </w:rPr>
            </w:pPr>
          </w:p>
        </w:tc>
        <w:tc>
          <w:tcPr>
            <w:tcW w:w="1272" w:type="dxa"/>
            <w:shd w:val="clear" w:color="auto" w:fill="C4D600"/>
            <w:tcMar/>
          </w:tcPr>
          <w:p w:rsidRPr="00766F5D" w:rsidR="00AA736A" w:rsidP="00ED040D" w:rsidRDefault="00AA736A" w14:paraId="69E68BF8"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Mar/>
          </w:tcPr>
          <w:p w:rsidRPr="00766F5D" w:rsidR="00AA736A" w:rsidP="00ED040D" w:rsidRDefault="00AA736A" w14:paraId="4C94A5D9"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Mar/>
          </w:tcPr>
          <w:p w:rsidRPr="00766F5D" w:rsidR="00AA736A" w:rsidP="00ED040D" w:rsidRDefault="00AA736A" w14:paraId="7DAB603A"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Pr="00766F5D" w:rsidR="00AA736A" w:rsidTr="6C1DCF31" w14:paraId="3ABD1D54" w14:textId="77777777">
        <w:tc>
          <w:tcPr>
            <w:tcW w:w="5240" w:type="dxa"/>
            <w:tcBorders>
              <w:right w:val="single" w:color="205C40" w:sz="4" w:space="0"/>
            </w:tcBorders>
            <w:shd w:val="clear" w:color="auto" w:fill="205C40"/>
            <w:tcMar/>
          </w:tcPr>
          <w:p w:rsidRPr="00766F5D" w:rsidR="00AA736A" w:rsidP="00ED040D" w:rsidRDefault="00AA736A" w14:paraId="7B4580D4"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346C46A5" w14:textId="77777777">
            <w:pPr>
              <w:spacing w:before="240"/>
              <w:jc w:val="center"/>
              <w:rPr>
                <w:rFonts w:ascii="Avenir Next LT Pro" w:hAnsi="Avenir Next LT Pro" w:cstheme="minorHAnsi"/>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38DEE4B6" w14:textId="77777777">
            <w:pPr>
              <w:spacing w:before="240"/>
              <w:jc w:val="center"/>
              <w:rPr>
                <w:rFonts w:ascii="Avenir Next LT Pro" w:hAnsi="Avenir Next LT Pro" w:cstheme="minorHAnsi"/>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59F8D981" w14:textId="77777777">
            <w:pPr>
              <w:spacing w:before="240"/>
              <w:jc w:val="center"/>
              <w:rPr>
                <w:rFonts w:ascii="Avenir Next LT Pro" w:hAnsi="Avenir Next LT Pro" w:cstheme="minorHAnsi"/>
                <w:sz w:val="20"/>
                <w:szCs w:val="20"/>
              </w:rPr>
            </w:pPr>
          </w:p>
        </w:tc>
      </w:tr>
      <w:tr w:rsidRPr="00766F5D" w:rsidR="00546996" w:rsidTr="6C1DCF31" w14:paraId="7E05F4A5" w14:textId="77777777">
        <w:tc>
          <w:tcPr>
            <w:tcW w:w="5240" w:type="dxa"/>
            <w:shd w:val="clear" w:color="auto" w:fill="FFFFFF" w:themeFill="background1"/>
            <w:tcMar/>
          </w:tcPr>
          <w:p w:rsidRPr="00766F5D" w:rsidR="00546996" w:rsidP="6C1DCF31" w:rsidRDefault="00546996" w14:paraId="041AF5D6" w14:textId="3FFA5DB1">
            <w:pPr>
              <w:pStyle w:val="Normal"/>
              <w:spacing w:before="240"/>
              <w:ind w:left="0"/>
              <w:rPr>
                <w:rFonts w:ascii="Calibri" w:hAnsi="Calibri" w:cs="Calibri"/>
              </w:rPr>
            </w:pPr>
            <w:r w:rsidRPr="6C1DCF31" w:rsidR="1D306671">
              <w:rPr>
                <w:rFonts w:ascii="Calibri" w:hAnsi="Calibri" w:cs="Calibri"/>
              </w:rPr>
              <w:t>Some knowledge of working within an educational environment</w:t>
            </w:r>
          </w:p>
        </w:tc>
        <w:tc>
          <w:tcPr>
            <w:tcW w:w="1272" w:type="dxa"/>
            <w:shd w:val="clear" w:color="auto" w:fill="FFFFFF" w:themeFill="background1"/>
            <w:tcMar/>
            <w:vAlign w:val="center"/>
          </w:tcPr>
          <w:p w:rsidRPr="00766F5D" w:rsidR="00546996" w:rsidP="00546996" w:rsidRDefault="00546996" w14:paraId="1955CFD0" w14:textId="61EFCE05">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shd w:val="clear" w:color="auto" w:fill="FFFFFF" w:themeFill="background1"/>
            <w:tcMar/>
            <w:vAlign w:val="center"/>
          </w:tcPr>
          <w:p w:rsidRPr="00766F5D" w:rsidR="00546996" w:rsidP="00546996" w:rsidRDefault="00546996" w14:paraId="0C121377"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996" w:rsidP="00546996" w:rsidRDefault="00546996" w14:paraId="2C8178D9" w14:textId="77777777">
            <w:pPr>
              <w:spacing w:before="240"/>
              <w:jc w:val="center"/>
              <w:rPr>
                <w:rFonts w:ascii="Avenir Next LT Pro" w:hAnsi="Avenir Next LT Pro" w:cstheme="minorHAnsi"/>
                <w:b/>
                <w:bCs/>
                <w:sz w:val="20"/>
                <w:szCs w:val="20"/>
              </w:rPr>
            </w:pPr>
          </w:p>
        </w:tc>
      </w:tr>
      <w:tr w:rsidRPr="00766F5D" w:rsidR="00546996" w:rsidTr="6C1DCF31" w14:paraId="1F78A3C9" w14:textId="77777777">
        <w:tc>
          <w:tcPr>
            <w:tcW w:w="5240" w:type="dxa"/>
            <w:shd w:val="clear" w:color="auto" w:fill="FFFFFF" w:themeFill="background1"/>
            <w:tcMar/>
          </w:tcPr>
          <w:p w:rsidRPr="00766F5D" w:rsidR="00546996" w:rsidP="6C1DCF31" w:rsidRDefault="00546996" w14:paraId="458759A6" w14:textId="7371707D">
            <w:pPr>
              <w:pStyle w:val="Normal"/>
              <w:spacing w:before="240"/>
              <w:ind w:left="0"/>
              <w:rPr>
                <w:rFonts w:ascii="Calibri" w:hAnsi="Calibri" w:cs="Calibri"/>
              </w:rPr>
            </w:pPr>
            <w:r w:rsidRPr="6C1DCF31" w:rsidR="6F84214B">
              <w:rPr>
                <w:rFonts w:ascii="Calibri" w:hAnsi="Calibri" w:cs="Calibri"/>
              </w:rPr>
              <w:t>A good standard of education (e.g.</w:t>
            </w:r>
            <w:r w:rsidRPr="6C1DCF31" w:rsidR="59E68496">
              <w:rPr>
                <w:rFonts w:ascii="Calibri" w:hAnsi="Calibri" w:cs="Calibri"/>
              </w:rPr>
              <w:t>,</w:t>
            </w:r>
            <w:r w:rsidRPr="6C1DCF31" w:rsidR="6F84214B">
              <w:rPr>
                <w:rFonts w:ascii="Calibri" w:hAnsi="Calibri" w:cs="Calibri"/>
              </w:rPr>
              <w:t xml:space="preserve"> GCSEs or equivalent including Maths and English)</w:t>
            </w:r>
          </w:p>
        </w:tc>
        <w:tc>
          <w:tcPr>
            <w:tcW w:w="1272" w:type="dxa"/>
            <w:shd w:val="clear" w:color="auto" w:fill="FFFFFF" w:themeFill="background1"/>
            <w:tcMar/>
            <w:vAlign w:val="center"/>
          </w:tcPr>
          <w:p w:rsidRPr="00766F5D" w:rsidR="00546996" w:rsidP="00546996" w:rsidRDefault="00546996" w14:paraId="74870AF2" w14:textId="18225B13">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shd w:val="clear" w:color="auto" w:fill="FFFFFF" w:themeFill="background1"/>
            <w:tcMar/>
            <w:vAlign w:val="center"/>
          </w:tcPr>
          <w:p w:rsidRPr="00766F5D" w:rsidR="00546996" w:rsidP="00546996" w:rsidRDefault="00546996" w14:paraId="7BBBD75A"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996" w:rsidP="00546996" w:rsidRDefault="00546996" w14:paraId="70419832" w14:textId="77777777">
            <w:pPr>
              <w:spacing w:before="240"/>
              <w:jc w:val="center"/>
              <w:rPr>
                <w:rFonts w:ascii="Avenir Next LT Pro" w:hAnsi="Avenir Next LT Pro" w:cstheme="minorHAnsi"/>
                <w:b/>
                <w:bCs/>
                <w:sz w:val="20"/>
                <w:szCs w:val="20"/>
              </w:rPr>
            </w:pPr>
          </w:p>
        </w:tc>
      </w:tr>
      <w:tr w:rsidRPr="00766F5D" w:rsidR="00546996" w:rsidTr="6C1DCF31" w14:paraId="380AAC62" w14:textId="77777777">
        <w:tc>
          <w:tcPr>
            <w:tcW w:w="5240" w:type="dxa"/>
            <w:shd w:val="clear" w:color="auto" w:fill="FFFFFF" w:themeFill="background1"/>
            <w:tcMar/>
          </w:tcPr>
          <w:p w:rsidRPr="00766F5D" w:rsidR="00546996" w:rsidP="6C1DCF31" w:rsidRDefault="00546996" w14:paraId="723025F7" w14:textId="50D6C325">
            <w:pPr>
              <w:pStyle w:val="Normal"/>
              <w:spacing w:before="240"/>
              <w:ind w:left="0"/>
              <w:rPr>
                <w:rFonts w:ascii="Calibri" w:hAnsi="Calibri" w:cs="Calibri"/>
              </w:rPr>
            </w:pPr>
            <w:r w:rsidRPr="6C1DCF31" w:rsidR="6F84214B">
              <w:rPr>
                <w:rFonts w:ascii="Calibri" w:hAnsi="Calibri" w:cs="Calibri"/>
              </w:rPr>
              <w:t>Qualification in related area (</w:t>
            </w:r>
            <w:r w:rsidRPr="6C1DCF31" w:rsidR="565B37A4">
              <w:rPr>
                <w:rFonts w:ascii="Calibri" w:hAnsi="Calibri" w:cs="Calibri"/>
              </w:rPr>
              <w:t>c</w:t>
            </w:r>
            <w:r w:rsidRPr="6C1DCF31" w:rsidR="6F84214B">
              <w:rPr>
                <w:rFonts w:ascii="Calibri" w:hAnsi="Calibri" w:cs="Calibri"/>
              </w:rPr>
              <w:t>lassroom support, social work, police, health service, counselling, mentoring</w:t>
            </w:r>
            <w:r w:rsidRPr="6C1DCF31" w:rsidR="01D6E0B0">
              <w:rPr>
                <w:rFonts w:ascii="Calibri" w:hAnsi="Calibri" w:cs="Calibri"/>
              </w:rPr>
              <w:t>)</w:t>
            </w:r>
          </w:p>
        </w:tc>
        <w:tc>
          <w:tcPr>
            <w:tcW w:w="1272" w:type="dxa"/>
            <w:shd w:val="clear" w:color="auto" w:fill="FFFFFF" w:themeFill="background1"/>
            <w:tcMar/>
            <w:vAlign w:val="center"/>
          </w:tcPr>
          <w:p w:rsidRPr="00766F5D" w:rsidR="00546996" w:rsidP="00546996" w:rsidRDefault="00546996" w14:paraId="3C2D6DAA"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996" w:rsidP="00546996" w:rsidRDefault="00546996" w14:paraId="35D4F331" w14:textId="74C87D5D">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64" w:type="dxa"/>
            <w:shd w:val="clear" w:color="auto" w:fill="FFFFFF" w:themeFill="background1"/>
            <w:tcMar/>
            <w:vAlign w:val="center"/>
          </w:tcPr>
          <w:p w:rsidRPr="00766F5D" w:rsidR="00546996" w:rsidP="00546996" w:rsidRDefault="00546996" w14:paraId="45826FE0" w14:textId="77777777">
            <w:pPr>
              <w:spacing w:before="240"/>
              <w:jc w:val="center"/>
              <w:rPr>
                <w:rFonts w:ascii="Avenir Next LT Pro" w:hAnsi="Avenir Next LT Pro" w:cstheme="minorHAnsi"/>
                <w:b/>
                <w:bCs/>
                <w:sz w:val="20"/>
                <w:szCs w:val="20"/>
              </w:rPr>
            </w:pPr>
          </w:p>
        </w:tc>
      </w:tr>
      <w:tr w:rsidRPr="00766F5D" w:rsidR="00546996" w:rsidTr="6C1DCF31" w14:paraId="144E3E31" w14:textId="77777777">
        <w:trPr>
          <w:trHeight w:val="300"/>
        </w:trPr>
        <w:tc>
          <w:tcPr>
            <w:tcW w:w="5240" w:type="dxa"/>
            <w:shd w:val="clear" w:color="auto" w:fill="FFFFFF" w:themeFill="background1"/>
            <w:tcMar/>
          </w:tcPr>
          <w:p w:rsidRPr="00766F5D" w:rsidR="00546996" w:rsidP="6C1DCF31" w:rsidRDefault="00546996" w14:paraId="0C83F46F" w14:textId="71C5D6FB">
            <w:pPr>
              <w:pStyle w:val="Normal"/>
              <w:spacing w:before="240"/>
              <w:ind w:left="0"/>
              <w:rPr>
                <w:rFonts w:ascii="Calibri" w:hAnsi="Calibri" w:cs="Calibri"/>
              </w:rPr>
            </w:pPr>
            <w:r w:rsidRPr="6C1DCF31" w:rsidR="1D306671">
              <w:rPr>
                <w:rFonts w:ascii="Calibri" w:hAnsi="Calibri" w:cs="Calibri"/>
              </w:rPr>
              <w:t>Current First Aid Qualification (willingness to undertake for the post)</w:t>
            </w:r>
          </w:p>
        </w:tc>
        <w:tc>
          <w:tcPr>
            <w:tcW w:w="1272" w:type="dxa"/>
            <w:shd w:val="clear" w:color="auto" w:fill="FFFFFF" w:themeFill="background1"/>
            <w:tcMar/>
            <w:vAlign w:val="center"/>
          </w:tcPr>
          <w:p w:rsidRPr="00766F5D" w:rsidR="00546996" w:rsidP="00546996" w:rsidRDefault="00546996" w14:paraId="3D450F15"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996" w:rsidP="00546996" w:rsidRDefault="00546996" w14:paraId="1D605A6B" w14:textId="2BFE1472">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64" w:type="dxa"/>
            <w:tcBorders>
              <w:left w:val="single" w:color="205C40" w:sz="4" w:space="0"/>
            </w:tcBorders>
            <w:tcMar/>
            <w:vAlign w:val="center"/>
          </w:tcPr>
          <w:p w:rsidRPr="00766F5D" w:rsidR="00546996" w:rsidP="00546996" w:rsidRDefault="00546996" w14:paraId="147980C8" w14:textId="77777777">
            <w:pPr>
              <w:spacing w:before="240"/>
              <w:jc w:val="center"/>
              <w:rPr>
                <w:rFonts w:ascii="Avenir Next LT Pro" w:hAnsi="Avenir Next LT Pro" w:cstheme="minorHAnsi"/>
                <w:b/>
                <w:bCs/>
                <w:sz w:val="20"/>
                <w:szCs w:val="20"/>
              </w:rPr>
            </w:pPr>
          </w:p>
        </w:tc>
      </w:tr>
      <w:tr w:rsidRPr="00766F5D" w:rsidR="00546996" w:rsidTr="6C1DCF31" w14:paraId="65DBDC71" w14:textId="77777777">
        <w:tc>
          <w:tcPr>
            <w:tcW w:w="5240" w:type="dxa"/>
            <w:tcBorders>
              <w:right w:val="single" w:color="205C40" w:sz="4" w:space="0"/>
            </w:tcBorders>
            <w:shd w:val="clear" w:color="auto" w:fill="205C40"/>
            <w:tcMar/>
          </w:tcPr>
          <w:p w:rsidRPr="00766F5D" w:rsidR="00546996" w:rsidP="00546996" w:rsidRDefault="00546996" w14:paraId="11A3687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color="205C40" w:sz="4" w:space="0"/>
              <w:right w:val="single" w:color="205C40" w:sz="4" w:space="0"/>
            </w:tcBorders>
            <w:shd w:val="clear" w:color="auto" w:fill="205C40"/>
            <w:tcMar/>
            <w:vAlign w:val="center"/>
          </w:tcPr>
          <w:p w:rsidRPr="00766F5D" w:rsidR="00546996" w:rsidP="00546996" w:rsidRDefault="00546996" w14:paraId="44EB5E7E"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546996" w:rsidP="00546996" w:rsidRDefault="00546996" w14:paraId="1494E9A2"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546996" w:rsidP="00546996" w:rsidRDefault="00546996" w14:paraId="2FD3A7DF" w14:textId="77777777">
            <w:pPr>
              <w:spacing w:before="240"/>
              <w:jc w:val="center"/>
              <w:rPr>
                <w:rFonts w:ascii="Avenir Next LT Pro" w:hAnsi="Avenir Next LT Pro" w:cstheme="minorHAnsi"/>
                <w:b/>
                <w:bCs/>
                <w:sz w:val="20"/>
                <w:szCs w:val="20"/>
              </w:rPr>
            </w:pPr>
          </w:p>
        </w:tc>
      </w:tr>
      <w:tr w:rsidRPr="00766F5D" w:rsidR="00C5195E" w:rsidTr="6C1DCF31" w14:paraId="4ED3690E" w14:textId="77777777">
        <w:tc>
          <w:tcPr>
            <w:tcW w:w="5240" w:type="dxa"/>
            <w:tcBorders>
              <w:right w:val="single" w:color="auto" w:sz="4" w:space="0"/>
            </w:tcBorders>
            <w:shd w:val="clear" w:color="auto" w:fill="FFFFFF" w:themeFill="background1"/>
            <w:tcMar/>
          </w:tcPr>
          <w:p w:rsidRPr="00766F5D" w:rsidR="00C5195E" w:rsidP="6C1DCF31" w:rsidRDefault="00C5195E" w14:paraId="3EA4D15D" w14:textId="2FFB78E0">
            <w:pPr>
              <w:pStyle w:val="Normal"/>
              <w:spacing w:before="0" w:beforeAutospacing="off"/>
              <w:ind w:left="0"/>
              <w:rPr>
                <w:rFonts w:ascii="Calibri" w:hAnsi="Calibri" w:cs="Calibri"/>
              </w:rPr>
            </w:pPr>
            <w:r w:rsidRPr="6C1DCF31" w:rsidR="5F8461B6">
              <w:rPr>
                <w:rFonts w:ascii="Calibri" w:hAnsi="Calibri" w:cs="Calibri"/>
              </w:rPr>
              <w:t>Organisation skills</w:t>
            </w:r>
            <w:r w:rsidRPr="6C1DCF31" w:rsidR="161B4759">
              <w:rPr>
                <w:rFonts w:ascii="Calibri" w:hAnsi="Calibri" w:cs="Calibri"/>
              </w:rPr>
              <w:t xml:space="preserve"> </w:t>
            </w:r>
            <w:r w:rsidRPr="6C1DCF31" w:rsidR="5F8461B6">
              <w:rPr>
                <w:rFonts w:ascii="Calibri" w:hAnsi="Calibri" w:cs="Calibri"/>
              </w:rPr>
              <w:t xml:space="preserve">– can prioritise work; </w:t>
            </w:r>
            <w:r w:rsidRPr="6C1DCF31" w:rsidR="5F8461B6">
              <w:rPr>
                <w:rFonts w:ascii="Calibri" w:hAnsi="Calibri" w:cs="Calibri"/>
              </w:rPr>
              <w:t>maintain</w:t>
            </w:r>
            <w:r w:rsidRPr="6C1DCF31" w:rsidR="5F8461B6">
              <w:rPr>
                <w:rFonts w:ascii="Calibri" w:hAnsi="Calibri" w:cs="Calibri"/>
              </w:rPr>
              <w:t xml:space="preserve"> </w:t>
            </w:r>
            <w:r w:rsidRPr="6C1DCF31" w:rsidR="5F8461B6">
              <w:rPr>
                <w:rFonts w:ascii="Calibri" w:hAnsi="Calibri" w:cs="Calibri"/>
              </w:rPr>
              <w:t>accurate</w:t>
            </w:r>
            <w:r w:rsidRPr="6C1DCF31" w:rsidR="5F8461B6">
              <w:rPr>
                <w:rFonts w:ascii="Calibri" w:hAnsi="Calibri" w:cs="Calibri"/>
              </w:rPr>
              <w:t xml:space="preserve"> records; meet deadlines, manage conflicting demands.</w:t>
            </w:r>
          </w:p>
        </w:tc>
        <w:tc>
          <w:tcPr>
            <w:tcW w:w="1272" w:type="dxa"/>
            <w:tcBorders>
              <w:left w:val="single" w:color="auto" w:sz="4" w:space="0"/>
              <w:right w:val="single" w:color="auto" w:sz="4" w:space="0"/>
            </w:tcBorders>
            <w:shd w:val="clear" w:color="auto" w:fill="FFFFFF" w:themeFill="background1"/>
            <w:tcMar/>
            <w:vAlign w:val="center"/>
          </w:tcPr>
          <w:p w:rsidRPr="00766F5D" w:rsidR="00C5195E" w:rsidP="00C5195E" w:rsidRDefault="00C5195E" w14:paraId="5400AF5B" w14:textId="1B26485F">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tcBorders>
              <w:left w:val="single" w:color="auto" w:sz="4" w:space="0"/>
            </w:tcBorders>
            <w:shd w:val="clear" w:color="auto" w:fill="FFFFFF" w:themeFill="background1"/>
            <w:tcMar/>
            <w:vAlign w:val="center"/>
          </w:tcPr>
          <w:p w:rsidRPr="00766F5D" w:rsidR="00C5195E" w:rsidP="00C5195E" w:rsidRDefault="00C5195E" w14:paraId="39541658"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C5195E" w:rsidP="00C5195E" w:rsidRDefault="00C5195E" w14:paraId="69E9F11A" w14:textId="77777777">
            <w:pPr>
              <w:spacing w:before="240"/>
              <w:jc w:val="center"/>
              <w:rPr>
                <w:rFonts w:ascii="Avenir Next LT Pro" w:hAnsi="Avenir Next LT Pro" w:cstheme="minorHAnsi"/>
                <w:b/>
                <w:bCs/>
                <w:sz w:val="20"/>
                <w:szCs w:val="20"/>
              </w:rPr>
            </w:pPr>
          </w:p>
        </w:tc>
      </w:tr>
      <w:tr w:rsidR="6C1DCF31" w:rsidTr="6C1DCF31" w14:paraId="24988B22">
        <w:trPr>
          <w:trHeight w:val="300"/>
        </w:trPr>
        <w:tc>
          <w:tcPr>
            <w:tcW w:w="5240" w:type="dxa"/>
            <w:tcBorders>
              <w:right w:val="single" w:color="auto" w:sz="4" w:space="0"/>
            </w:tcBorders>
            <w:shd w:val="clear" w:color="auto" w:fill="FFFFFF" w:themeFill="background1"/>
            <w:tcMar/>
          </w:tcPr>
          <w:p w:rsidR="51B4AB2B" w:rsidP="6C1DCF31" w:rsidRDefault="51B4AB2B" w14:paraId="46BCABFC" w14:textId="20310F6C">
            <w:pPr>
              <w:pStyle w:val="Normal"/>
            </w:pPr>
            <w:r w:rsidRPr="6C1DCF31" w:rsidR="51B4AB2B">
              <w:rPr>
                <w:rFonts w:ascii="Calibri" w:hAnsi="Calibri" w:eastAsia="Calibri" w:cs="Calibri"/>
                <w:noProof w:val="0"/>
                <w:sz w:val="22"/>
                <w:szCs w:val="22"/>
                <w:lang w:val="en-GB"/>
              </w:rPr>
              <w:t>Holds a full, valid driving licence and has access to a reliable vehicle to undertake home visits as required.</w:t>
            </w:r>
          </w:p>
        </w:tc>
        <w:tc>
          <w:tcPr>
            <w:tcW w:w="1272" w:type="dxa"/>
            <w:tcBorders>
              <w:left w:val="single" w:color="auto" w:sz="4" w:space="0"/>
              <w:right w:val="single" w:color="auto" w:sz="4" w:space="0"/>
            </w:tcBorders>
            <w:shd w:val="clear" w:color="auto" w:fill="FFFFFF" w:themeFill="background1"/>
            <w:tcMar/>
            <w:vAlign w:val="center"/>
          </w:tcPr>
          <w:p w:rsidR="6C1DCF31" w:rsidP="6C1DCF31" w:rsidRDefault="6C1DCF31" w14:paraId="33327DD1" w14:textId="6B5F8077">
            <w:pPr>
              <w:pStyle w:val="Normal"/>
              <w:jc w:val="center"/>
              <w:rPr>
                <w:rFonts w:ascii="Wingdings" w:hAnsi="Wingdings" w:eastAsia="Wingdings" w:cs="Calibri" w:cstheme="minorAscii"/>
                <w:b w:val="1"/>
                <w:bCs w:val="1"/>
                <w:sz w:val="20"/>
                <w:szCs w:val="20"/>
              </w:rPr>
            </w:pPr>
          </w:p>
        </w:tc>
        <w:tc>
          <w:tcPr>
            <w:tcW w:w="1240" w:type="dxa"/>
            <w:tcBorders>
              <w:left w:val="single" w:color="auto" w:sz="4" w:space="0"/>
            </w:tcBorders>
            <w:shd w:val="clear" w:color="auto" w:fill="FFFFFF" w:themeFill="background1"/>
            <w:tcMar/>
            <w:vAlign w:val="center"/>
          </w:tcPr>
          <w:p w:rsidR="6C1DCF31" w:rsidP="6C1DCF31" w:rsidRDefault="6C1DCF31" w14:paraId="6C24626A" w14:textId="4545A6F9">
            <w:pPr>
              <w:pStyle w:val="Normal"/>
              <w:jc w:val="center"/>
              <w:rPr>
                <w:rFonts w:ascii="Avenir Next LT Pro" w:hAnsi="Avenir Next LT Pro" w:cs="Calibri" w:cstheme="minorAscii"/>
                <w:b w:val="1"/>
                <w:bCs w:val="1"/>
                <w:sz w:val="20"/>
                <w:szCs w:val="20"/>
              </w:rPr>
            </w:pPr>
          </w:p>
        </w:tc>
        <w:tc>
          <w:tcPr>
            <w:tcW w:w="1264" w:type="dxa"/>
            <w:tcBorders>
              <w:left w:val="single" w:color="auto" w:sz="4" w:space="0"/>
            </w:tcBorders>
            <w:shd w:val="clear" w:color="auto" w:fill="FFFFFF" w:themeFill="background1"/>
            <w:tcMar/>
            <w:vAlign w:val="center"/>
          </w:tcPr>
          <w:p w:rsidR="6C1DCF31" w:rsidP="6C1DCF31" w:rsidRDefault="6C1DCF31" w14:paraId="75E7D588" w14:textId="00FCDFB8">
            <w:pPr>
              <w:pStyle w:val="Normal"/>
              <w:jc w:val="center"/>
              <w:rPr>
                <w:rFonts w:ascii="Avenir Next LT Pro" w:hAnsi="Avenir Next LT Pro" w:cs="Calibri" w:cstheme="minorAscii"/>
                <w:b w:val="1"/>
                <w:bCs w:val="1"/>
                <w:sz w:val="20"/>
                <w:szCs w:val="20"/>
              </w:rPr>
            </w:pPr>
          </w:p>
        </w:tc>
      </w:tr>
      <w:tr w:rsidRPr="00766F5D" w:rsidR="00C5195E" w:rsidTr="6C1DCF31" w14:paraId="7F018CA8" w14:textId="77777777">
        <w:tc>
          <w:tcPr>
            <w:tcW w:w="5240" w:type="dxa"/>
            <w:tcBorders>
              <w:right w:val="single" w:color="auto" w:sz="4" w:space="0"/>
            </w:tcBorders>
            <w:shd w:val="clear" w:color="auto" w:fill="FFFFFF" w:themeFill="background1"/>
            <w:tcMar/>
          </w:tcPr>
          <w:p w:rsidRPr="00766F5D" w:rsidR="00C5195E" w:rsidP="6C1DCF31" w:rsidRDefault="00C5195E" w14:paraId="1F722C88" w14:textId="4C1092DE">
            <w:pPr>
              <w:pStyle w:val="Normal"/>
              <w:spacing w:before="0" w:beforeAutospacing="off"/>
              <w:ind w:left="0"/>
              <w:rPr>
                <w:rFonts w:ascii="Calibri" w:hAnsi="Calibri" w:cs="Calibri"/>
              </w:rPr>
            </w:pPr>
            <w:r w:rsidRPr="6C1DCF31" w:rsidR="5F8461B6">
              <w:rPr>
                <w:rFonts w:ascii="Calibri" w:hAnsi="Calibri" w:cs="Calibri"/>
              </w:rPr>
              <w:t>ICT skills of a high order – able to use a range of software applications for administrative / planning / student support functions.</w:t>
            </w:r>
          </w:p>
        </w:tc>
        <w:tc>
          <w:tcPr>
            <w:tcW w:w="1272" w:type="dxa"/>
            <w:tcBorders>
              <w:left w:val="single" w:color="auto" w:sz="4" w:space="0"/>
              <w:right w:val="single" w:color="auto" w:sz="4" w:space="0"/>
            </w:tcBorders>
            <w:shd w:val="clear" w:color="auto" w:fill="FFFFFF" w:themeFill="background1"/>
            <w:tcMar/>
            <w:vAlign w:val="center"/>
          </w:tcPr>
          <w:p w:rsidRPr="00766F5D" w:rsidR="00C5195E" w:rsidP="00C5195E" w:rsidRDefault="00C5195E" w14:paraId="7A232D34" w14:textId="44100404">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tcBorders>
              <w:left w:val="single" w:color="auto" w:sz="4" w:space="0"/>
            </w:tcBorders>
            <w:shd w:val="clear" w:color="auto" w:fill="FFFFFF" w:themeFill="background1"/>
            <w:tcMar/>
            <w:vAlign w:val="center"/>
          </w:tcPr>
          <w:p w:rsidRPr="00766F5D" w:rsidR="00C5195E" w:rsidP="00C5195E" w:rsidRDefault="00C5195E" w14:paraId="328A0EE4"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C5195E" w:rsidP="00C5195E" w:rsidRDefault="00C5195E" w14:paraId="756A02FD" w14:textId="77777777">
            <w:pPr>
              <w:spacing w:before="240"/>
              <w:jc w:val="center"/>
              <w:rPr>
                <w:rFonts w:ascii="Avenir Next LT Pro" w:hAnsi="Avenir Next LT Pro" w:cstheme="minorHAnsi"/>
                <w:b/>
                <w:bCs/>
                <w:sz w:val="20"/>
                <w:szCs w:val="20"/>
              </w:rPr>
            </w:pPr>
          </w:p>
        </w:tc>
      </w:tr>
      <w:tr w:rsidRPr="00766F5D" w:rsidR="00C5195E" w:rsidTr="6C1DCF31" w14:paraId="67C31A81" w14:textId="77777777">
        <w:tc>
          <w:tcPr>
            <w:tcW w:w="5240" w:type="dxa"/>
            <w:shd w:val="clear" w:color="auto" w:fill="205C40"/>
            <w:tcMar/>
          </w:tcPr>
          <w:p w:rsidRPr="00766F5D" w:rsidR="00C5195E" w:rsidP="00C5195E" w:rsidRDefault="00C5195E" w14:paraId="5405C60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tcMar/>
            <w:vAlign w:val="center"/>
          </w:tcPr>
          <w:p w:rsidRPr="00766F5D" w:rsidR="00C5195E" w:rsidP="00C5195E" w:rsidRDefault="00C5195E" w14:paraId="7C8A14A3"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Pr="00766F5D" w:rsidR="00C5195E" w:rsidP="00C5195E" w:rsidRDefault="00C5195E" w14:paraId="5846B038" w14:textId="77777777">
            <w:pPr>
              <w:spacing w:before="240"/>
              <w:jc w:val="center"/>
              <w:rPr>
                <w:rFonts w:ascii="Avenir Next LT Pro" w:hAnsi="Avenir Next LT Pro" w:cstheme="minorHAnsi"/>
                <w:b/>
                <w:bCs/>
                <w:sz w:val="20"/>
                <w:szCs w:val="20"/>
              </w:rPr>
            </w:pPr>
          </w:p>
        </w:tc>
        <w:tc>
          <w:tcPr>
            <w:tcW w:w="1264" w:type="dxa"/>
            <w:shd w:val="clear" w:color="auto" w:fill="205C40"/>
            <w:tcMar/>
            <w:vAlign w:val="center"/>
          </w:tcPr>
          <w:p w:rsidRPr="00766F5D" w:rsidR="00C5195E" w:rsidP="00C5195E" w:rsidRDefault="00C5195E" w14:paraId="2AE329B0" w14:textId="77777777">
            <w:pPr>
              <w:spacing w:before="240"/>
              <w:jc w:val="center"/>
              <w:rPr>
                <w:rFonts w:ascii="Avenir Next LT Pro" w:hAnsi="Avenir Next LT Pro" w:cstheme="minorHAnsi"/>
                <w:b/>
                <w:bCs/>
                <w:sz w:val="20"/>
                <w:szCs w:val="20"/>
              </w:rPr>
            </w:pPr>
          </w:p>
        </w:tc>
      </w:tr>
      <w:tr w:rsidRPr="00766F5D" w:rsidR="00546010" w:rsidTr="6C1DCF31" w14:paraId="0B16B192" w14:textId="77777777">
        <w:tc>
          <w:tcPr>
            <w:tcW w:w="5240" w:type="dxa"/>
            <w:tcMar/>
          </w:tcPr>
          <w:p w:rsidRPr="00766F5D" w:rsidR="00546010" w:rsidP="6C1DCF31" w:rsidRDefault="00546010" w14:paraId="42DCB156" w14:textId="437D30D0">
            <w:pPr>
              <w:pStyle w:val="Normal"/>
              <w:spacing w:before="0" w:beforeAutospacing="off"/>
              <w:ind w:left="0"/>
              <w:rPr>
                <w:rFonts w:ascii="Calibri" w:hAnsi="Calibri" w:cs="Calibri"/>
              </w:rPr>
            </w:pPr>
            <w:r w:rsidRPr="6C1DCF31" w:rsidR="0E1A05FF">
              <w:rPr>
                <w:rFonts w:ascii="Calibri" w:hAnsi="Calibri" w:cs="Calibri"/>
              </w:rPr>
              <w:t xml:space="preserve">Ability to </w:t>
            </w:r>
            <w:r w:rsidRPr="6C1DCF31" w:rsidR="0E1A05FF">
              <w:rPr>
                <w:rFonts w:ascii="Calibri" w:hAnsi="Calibri" w:cs="Calibri"/>
              </w:rPr>
              <w:t>establish</w:t>
            </w:r>
            <w:r w:rsidRPr="6C1DCF31" w:rsidR="0E1A05FF">
              <w:rPr>
                <w:rFonts w:ascii="Calibri" w:hAnsi="Calibri" w:cs="Calibri"/>
              </w:rPr>
              <w:t xml:space="preserve"> good relationships with students, working as a role model and being aware of and responding appropriately to needs.</w:t>
            </w:r>
          </w:p>
        </w:tc>
        <w:tc>
          <w:tcPr>
            <w:tcW w:w="1272" w:type="dxa"/>
            <w:tcMar/>
            <w:vAlign w:val="center"/>
          </w:tcPr>
          <w:p w:rsidRPr="00766F5D" w:rsidR="00546010" w:rsidP="00546010" w:rsidRDefault="00546010" w14:paraId="278C0E5B" w14:textId="4CF18939">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tcMar/>
            <w:vAlign w:val="center"/>
          </w:tcPr>
          <w:p w:rsidRPr="00766F5D" w:rsidR="00546010" w:rsidP="00546010" w:rsidRDefault="00546010" w14:paraId="430F71EE"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546010" w:rsidP="00546010" w:rsidRDefault="00546010" w14:paraId="42928C21" w14:textId="77777777">
            <w:pPr>
              <w:spacing w:before="240"/>
              <w:jc w:val="center"/>
              <w:rPr>
                <w:rFonts w:ascii="Avenir Next LT Pro" w:hAnsi="Avenir Next LT Pro" w:cstheme="minorHAnsi"/>
                <w:b/>
                <w:bCs/>
                <w:sz w:val="20"/>
                <w:szCs w:val="20"/>
              </w:rPr>
            </w:pPr>
          </w:p>
        </w:tc>
      </w:tr>
      <w:tr w:rsidRPr="00766F5D" w:rsidR="00546010" w:rsidTr="6C1DCF31" w14:paraId="70543A41" w14:textId="77777777">
        <w:tc>
          <w:tcPr>
            <w:tcW w:w="5240" w:type="dxa"/>
            <w:tcMar/>
          </w:tcPr>
          <w:p w:rsidRPr="00766F5D" w:rsidR="00546010" w:rsidP="6C1DCF31" w:rsidRDefault="00546010" w14:paraId="00A6F0E1" w14:textId="3634F930">
            <w:pPr>
              <w:pStyle w:val="Normal"/>
              <w:spacing w:before="0" w:beforeAutospacing="off"/>
              <w:ind w:left="0"/>
              <w:rPr>
                <w:rFonts w:ascii="Calibri" w:hAnsi="Calibri" w:cs="Calibri"/>
              </w:rPr>
            </w:pPr>
            <w:r w:rsidRPr="6C1DCF31" w:rsidR="0E1A05FF">
              <w:rPr>
                <w:rFonts w:ascii="Calibri" w:hAnsi="Calibri" w:cs="Calibri"/>
              </w:rPr>
              <w:t>Communication and inter-personal skills – socially and professionally skilled at dealing with a range of people; able to engender confidence in others; able to secure confidence of others; able to listen / counsel / negotiate / be sensitive / tactful / diplomatic as circumstances demand.</w:t>
            </w:r>
          </w:p>
        </w:tc>
        <w:tc>
          <w:tcPr>
            <w:tcW w:w="1272" w:type="dxa"/>
            <w:tcMar/>
            <w:vAlign w:val="center"/>
          </w:tcPr>
          <w:p w:rsidRPr="00766F5D" w:rsidR="00546010" w:rsidP="00546010" w:rsidRDefault="00546010" w14:paraId="1F739C1E" w14:textId="123249E7">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tcMar/>
            <w:vAlign w:val="center"/>
          </w:tcPr>
          <w:p w:rsidRPr="00766F5D" w:rsidR="00546010" w:rsidP="00546010" w:rsidRDefault="00546010" w14:paraId="3138DD1A"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546010" w:rsidP="00546010" w:rsidRDefault="00546010" w14:paraId="6D87083F" w14:textId="77777777">
            <w:pPr>
              <w:spacing w:before="240"/>
              <w:jc w:val="center"/>
              <w:rPr>
                <w:rFonts w:ascii="Avenir Next LT Pro" w:hAnsi="Avenir Next LT Pro" w:cstheme="minorHAnsi"/>
                <w:b/>
                <w:bCs/>
                <w:sz w:val="20"/>
                <w:szCs w:val="20"/>
              </w:rPr>
            </w:pPr>
          </w:p>
        </w:tc>
      </w:tr>
      <w:tr w:rsidRPr="00766F5D" w:rsidR="00546010" w:rsidTr="6C1DCF31" w14:paraId="57BD832F" w14:textId="77777777">
        <w:tc>
          <w:tcPr>
            <w:tcW w:w="5240" w:type="dxa"/>
            <w:tcMar/>
          </w:tcPr>
          <w:p w:rsidRPr="00766F5D" w:rsidR="00546010" w:rsidP="6C1DCF31" w:rsidRDefault="00546010" w14:paraId="6A4BBE48" w14:textId="595B8D29">
            <w:pPr>
              <w:pStyle w:val="Normal"/>
              <w:spacing w:before="0" w:beforeAutospacing="off"/>
              <w:ind w:left="0"/>
              <w:rPr>
                <w:rFonts w:ascii="Avenir Next LT Pro" w:hAnsi="Avenir Next LT Pro" w:cs="Calibri" w:cstheme="minorAscii"/>
                <w:sz w:val="20"/>
                <w:szCs w:val="20"/>
              </w:rPr>
            </w:pPr>
            <w:r w:rsidRPr="6C1DCF31" w:rsidR="0E1A05FF">
              <w:rPr>
                <w:rFonts w:ascii="Calibri" w:hAnsi="Calibri" w:cs="Calibri"/>
              </w:rPr>
              <w:t xml:space="preserve">Team worker – able to organise and motivate others; able to work positively with </w:t>
            </w:r>
            <w:r w:rsidRPr="6C1DCF31" w:rsidR="0E1A05FF">
              <w:rPr>
                <w:rFonts w:ascii="Calibri" w:hAnsi="Calibri" w:cs="Calibri"/>
              </w:rPr>
              <w:t>others:</w:t>
            </w:r>
            <w:r w:rsidRPr="6C1DCF31" w:rsidR="0E1A05FF">
              <w:rPr>
                <w:rFonts w:ascii="Calibri" w:hAnsi="Calibri" w:cs="Calibri"/>
              </w:rPr>
              <w:t xml:space="preserve"> encourages input from all and actively contributes to team discussions, working to come to consensus decisions</w:t>
            </w:r>
            <w:r w:rsidRPr="6C1DCF31" w:rsidR="7119868C">
              <w:rPr>
                <w:rFonts w:ascii="Calibri" w:hAnsi="Calibri" w:cs="Calibri"/>
              </w:rPr>
              <w:t>.</w:t>
            </w:r>
          </w:p>
        </w:tc>
        <w:tc>
          <w:tcPr>
            <w:tcW w:w="1272" w:type="dxa"/>
            <w:tcMar/>
            <w:vAlign w:val="center"/>
          </w:tcPr>
          <w:p w:rsidRPr="00766F5D" w:rsidR="00546010" w:rsidP="00546010" w:rsidRDefault="00546010" w14:paraId="76CFB4EF" w14:textId="656FE74C">
            <w:pPr>
              <w:spacing w:before="240"/>
              <w:jc w:val="center"/>
              <w:rPr>
                <w:rFonts w:ascii="Avenir Next LT Pro" w:hAnsi="Avenir Next LT Pro" w:cstheme="minorHAnsi"/>
                <w:b/>
                <w:bCs/>
                <w:sz w:val="20"/>
                <w:szCs w:val="20"/>
              </w:rPr>
            </w:pPr>
            <w:r>
              <w:rPr>
                <w:rFonts w:ascii="Wingdings" w:hAnsi="Wingdings" w:eastAsia="Wingdings" w:cstheme="minorHAnsi"/>
                <w:b/>
                <w:bCs/>
                <w:sz w:val="20"/>
                <w:szCs w:val="20"/>
              </w:rPr>
              <w:t>ü</w:t>
            </w:r>
          </w:p>
        </w:tc>
        <w:tc>
          <w:tcPr>
            <w:tcW w:w="1240" w:type="dxa"/>
            <w:tcMar/>
            <w:vAlign w:val="center"/>
          </w:tcPr>
          <w:p w:rsidRPr="00766F5D" w:rsidR="00546010" w:rsidP="00546010" w:rsidRDefault="00546010" w14:paraId="195D1A6E"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546010" w:rsidP="00546010" w:rsidRDefault="00546010" w14:paraId="23CBAD21" w14:textId="77777777">
            <w:pPr>
              <w:spacing w:before="240"/>
              <w:jc w:val="center"/>
              <w:rPr>
                <w:rFonts w:ascii="Avenir Next LT Pro" w:hAnsi="Avenir Next LT Pro" w:cstheme="minorHAnsi"/>
                <w:b/>
                <w:bCs/>
                <w:sz w:val="20"/>
                <w:szCs w:val="20"/>
              </w:rPr>
            </w:pPr>
          </w:p>
        </w:tc>
      </w:tr>
      <w:tr w:rsidRPr="00766F5D" w:rsidR="00546010" w:rsidTr="6C1DCF31" w14:paraId="3DB8C426" w14:textId="77777777">
        <w:tc>
          <w:tcPr>
            <w:tcW w:w="5240" w:type="dxa"/>
            <w:shd w:val="clear" w:color="auto" w:fill="205C40"/>
            <w:tcMar/>
          </w:tcPr>
          <w:p w:rsidRPr="00766F5D" w:rsidR="00546010" w:rsidP="00546010" w:rsidRDefault="00546010" w14:paraId="1C5E84C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tcMar/>
            <w:vAlign w:val="center"/>
          </w:tcPr>
          <w:p w:rsidRPr="00766F5D" w:rsidR="00546010" w:rsidP="00546010" w:rsidRDefault="00546010" w14:paraId="7117C26B"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Pr="00766F5D" w:rsidR="00546010" w:rsidP="00546010" w:rsidRDefault="00546010" w14:paraId="378A68B3" w14:textId="77777777">
            <w:pPr>
              <w:spacing w:before="240"/>
              <w:jc w:val="center"/>
              <w:rPr>
                <w:rFonts w:ascii="Avenir Next LT Pro" w:hAnsi="Avenir Next LT Pro" w:cstheme="minorHAnsi"/>
                <w:b/>
                <w:bCs/>
                <w:sz w:val="20"/>
                <w:szCs w:val="20"/>
              </w:rPr>
            </w:pPr>
          </w:p>
        </w:tc>
        <w:tc>
          <w:tcPr>
            <w:tcW w:w="1264" w:type="dxa"/>
            <w:shd w:val="clear" w:color="auto" w:fill="205C40"/>
            <w:tcMar/>
            <w:vAlign w:val="center"/>
          </w:tcPr>
          <w:p w:rsidRPr="00766F5D" w:rsidR="00546010" w:rsidP="00546010" w:rsidRDefault="00546010" w14:paraId="53DF6F2C" w14:textId="77777777">
            <w:pPr>
              <w:spacing w:before="240"/>
              <w:jc w:val="center"/>
              <w:rPr>
                <w:rFonts w:ascii="Avenir Next LT Pro" w:hAnsi="Avenir Next LT Pro" w:cstheme="minorHAnsi"/>
                <w:b/>
                <w:bCs/>
                <w:sz w:val="20"/>
                <w:szCs w:val="20"/>
              </w:rPr>
            </w:pPr>
          </w:p>
        </w:tc>
      </w:tr>
      <w:tr w:rsidRPr="00766F5D" w:rsidR="00546010" w:rsidTr="6C1DCF31" w14:paraId="00C6C631" w14:textId="77777777">
        <w:tc>
          <w:tcPr>
            <w:tcW w:w="5240" w:type="dxa"/>
            <w:tcMar/>
          </w:tcPr>
          <w:p w:rsidRPr="00766F5D" w:rsidR="00546010" w:rsidP="6C1DCF31" w:rsidRDefault="00546010" w14:paraId="7449C57C" w14:textId="77777777">
            <w:pPr>
              <w:pStyle w:val="Normal"/>
              <w:spacing w:before="0" w:beforeAutospacing="off"/>
              <w:ind w:left="0"/>
              <w:rPr>
                <w:rFonts w:ascii="Calibri" w:hAnsi="Calibri" w:eastAsia="Calibri" w:cs="Calibri" w:asciiTheme="minorAscii" w:hAnsiTheme="minorAscii" w:eastAsiaTheme="minorAscii" w:cstheme="minorAscii"/>
                <w:sz w:val="22"/>
                <w:szCs w:val="22"/>
              </w:rPr>
            </w:pPr>
            <w:r w:rsidRPr="6C1DCF31" w:rsidR="6A085FF2">
              <w:rPr>
                <w:rFonts w:ascii="Calibri" w:hAnsi="Calibri" w:eastAsia="Calibri" w:cs="Calibri" w:asciiTheme="minorAscii" w:hAnsiTheme="minorAscii" w:eastAsiaTheme="minorAscii" w:cstheme="minorAscii"/>
                <w:sz w:val="22"/>
                <w:szCs w:val="22"/>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tcMar/>
            <w:vAlign w:val="center"/>
          </w:tcPr>
          <w:p w:rsidRPr="00766F5D" w:rsidR="00546010" w:rsidP="00546010" w:rsidRDefault="00546010" w14:paraId="4D2A2486"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tcMar/>
            <w:vAlign w:val="center"/>
          </w:tcPr>
          <w:p w:rsidRPr="00766F5D" w:rsidR="00546010" w:rsidP="00546010" w:rsidRDefault="00546010" w14:paraId="64C819E5"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546010" w:rsidP="00546010" w:rsidRDefault="00546010" w14:paraId="6B9651A3" w14:textId="77777777">
            <w:pPr>
              <w:spacing w:before="240"/>
              <w:jc w:val="center"/>
              <w:rPr>
                <w:rFonts w:ascii="Avenir Next LT Pro" w:hAnsi="Avenir Next LT Pro" w:cstheme="minorHAnsi"/>
                <w:b/>
                <w:bCs/>
                <w:sz w:val="20"/>
                <w:szCs w:val="20"/>
              </w:rPr>
            </w:pPr>
          </w:p>
        </w:tc>
      </w:tr>
      <w:tr w:rsidRPr="00766F5D" w:rsidR="00546010" w:rsidTr="6C1DCF31" w14:paraId="50704DF7" w14:textId="77777777">
        <w:tc>
          <w:tcPr>
            <w:tcW w:w="5240" w:type="dxa"/>
            <w:shd w:val="clear" w:color="auto" w:fill="205C40"/>
            <w:tcMar/>
          </w:tcPr>
          <w:p w:rsidRPr="00766F5D" w:rsidR="00546010" w:rsidP="00546010" w:rsidRDefault="00546010" w14:paraId="64ADEF89"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tcMar/>
            <w:vAlign w:val="center"/>
          </w:tcPr>
          <w:p w:rsidRPr="00766F5D" w:rsidR="00546010" w:rsidP="00546010" w:rsidRDefault="00546010" w14:paraId="7FCB3B46" w14:textId="7777777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tcMar/>
            <w:vAlign w:val="center"/>
          </w:tcPr>
          <w:p w:rsidRPr="00766F5D" w:rsidR="00546010" w:rsidP="00546010" w:rsidRDefault="00546010" w14:paraId="32ADF64D" w14:textId="7777777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tcMar/>
            <w:vAlign w:val="center"/>
          </w:tcPr>
          <w:p w:rsidRPr="00766F5D" w:rsidR="00546010" w:rsidP="00546010" w:rsidRDefault="00546010" w14:paraId="56CEA3D7" w14:textId="77777777">
            <w:pPr>
              <w:spacing w:before="240"/>
              <w:jc w:val="center"/>
              <w:rPr>
                <w:rFonts w:ascii="Avenir Next LT Pro" w:hAnsi="Avenir Next LT Pro" w:cstheme="minorHAnsi"/>
                <w:b/>
                <w:bCs/>
                <w:color w:val="FFFFFF" w:themeColor="background1"/>
                <w:sz w:val="20"/>
                <w:szCs w:val="20"/>
              </w:rPr>
            </w:pPr>
          </w:p>
        </w:tc>
      </w:tr>
      <w:tr w:rsidRPr="00766F5D" w:rsidR="00546010" w:rsidTr="6C1DCF31" w14:paraId="4420B7ED" w14:textId="77777777">
        <w:tc>
          <w:tcPr>
            <w:tcW w:w="5240" w:type="dxa"/>
            <w:shd w:val="clear" w:color="auto" w:fill="FFFFFF" w:themeFill="background1"/>
            <w:tcMar/>
          </w:tcPr>
          <w:p w:rsidRPr="00766F5D" w:rsidR="00546010" w:rsidP="6C1DCF31" w:rsidRDefault="00546010" w14:paraId="7F6BD4EB" w14:textId="77777777">
            <w:pPr>
              <w:pStyle w:val="Normal"/>
              <w:spacing w:before="0" w:beforeAutospacing="off"/>
              <w:ind w:left="0"/>
              <w:rPr>
                <w:rFonts w:ascii="Calibri" w:hAnsi="Calibri" w:eastAsia="Calibri" w:cs="Calibri" w:asciiTheme="minorAscii" w:hAnsiTheme="minorAscii" w:eastAsiaTheme="minorAscii" w:cstheme="minorAscii"/>
                <w:sz w:val="22"/>
                <w:szCs w:val="22"/>
              </w:rPr>
            </w:pPr>
            <w:r w:rsidRPr="6C1DCF31" w:rsidR="6A085FF2">
              <w:rPr>
                <w:rFonts w:ascii="Calibri" w:hAnsi="Calibri" w:eastAsia="Calibri" w:cs="Calibri" w:asciiTheme="minorAscii" w:hAnsiTheme="minorAscii" w:eastAsiaTheme="minorAscii" w:cstheme="minorAscii"/>
                <w:sz w:val="22"/>
                <w:szCs w:val="22"/>
              </w:rPr>
              <w:t xml:space="preserve">Committed to promoting the welfare of all children and creating a safe environment in which children can learn; considering, </w:t>
            </w:r>
            <w:r w:rsidRPr="6C1DCF31" w:rsidR="6A085FF2">
              <w:rPr>
                <w:rFonts w:ascii="Calibri" w:hAnsi="Calibri" w:eastAsia="Calibri" w:cs="Calibri" w:asciiTheme="minorAscii" w:hAnsiTheme="minorAscii" w:eastAsiaTheme="minorAscii" w:cstheme="minorAscii"/>
                <w:sz w:val="22"/>
                <w:szCs w:val="22"/>
              </w:rPr>
              <w:t>at all times</w:t>
            </w:r>
            <w:r w:rsidRPr="6C1DCF31" w:rsidR="6A085FF2">
              <w:rPr>
                <w:rFonts w:ascii="Calibri" w:hAnsi="Calibri" w:eastAsia="Calibri" w:cs="Calibri" w:asciiTheme="minorAscii" w:hAnsiTheme="minorAscii" w:eastAsiaTheme="minorAscii" w:cstheme="minorAscii"/>
                <w:sz w:val="22"/>
                <w:szCs w:val="22"/>
              </w:rPr>
              <w:t xml:space="preserve">, what is in the best interests of the child. </w:t>
            </w:r>
          </w:p>
        </w:tc>
        <w:tc>
          <w:tcPr>
            <w:tcW w:w="1272" w:type="dxa"/>
            <w:shd w:val="clear" w:color="auto" w:fill="FFFFFF" w:themeFill="background1"/>
            <w:tcMar/>
            <w:vAlign w:val="center"/>
          </w:tcPr>
          <w:p w:rsidRPr="00766F5D" w:rsidR="00546010" w:rsidP="00546010" w:rsidRDefault="00546010" w14:paraId="66D4338E"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010" w:rsidP="00546010" w:rsidRDefault="00546010" w14:paraId="75CAB5E9"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010" w:rsidP="00546010" w:rsidRDefault="00546010" w14:paraId="7CB197FD" w14:textId="77777777">
            <w:pPr>
              <w:spacing w:before="240"/>
              <w:jc w:val="center"/>
              <w:rPr>
                <w:rFonts w:ascii="Avenir Next LT Pro" w:hAnsi="Avenir Next LT Pro" w:cstheme="minorHAnsi"/>
                <w:b/>
                <w:bCs/>
                <w:sz w:val="20"/>
                <w:szCs w:val="20"/>
              </w:rPr>
            </w:pPr>
          </w:p>
        </w:tc>
      </w:tr>
      <w:tr w:rsidRPr="00766F5D" w:rsidR="00546010" w:rsidTr="6C1DCF31" w14:paraId="177C94B1" w14:textId="77777777">
        <w:tc>
          <w:tcPr>
            <w:tcW w:w="5240" w:type="dxa"/>
            <w:shd w:val="clear" w:color="auto" w:fill="FFFFFF" w:themeFill="background1"/>
            <w:tcMar/>
          </w:tcPr>
          <w:p w:rsidRPr="00766F5D" w:rsidR="00546010" w:rsidP="6C1DCF31" w:rsidRDefault="00546010" w14:paraId="363CD20B" w14:textId="77777777">
            <w:pPr>
              <w:pStyle w:val="Normal"/>
              <w:spacing w:before="240"/>
              <w:ind w:left="0"/>
              <w:rPr>
                <w:rFonts w:ascii="Calibri" w:hAnsi="Calibri" w:eastAsia="Calibri" w:cs="Calibri" w:asciiTheme="minorAscii" w:hAnsiTheme="minorAscii" w:eastAsiaTheme="minorAscii" w:cstheme="minorAscii"/>
                <w:sz w:val="22"/>
                <w:szCs w:val="22"/>
              </w:rPr>
            </w:pPr>
            <w:r w:rsidRPr="6C1DCF31" w:rsidR="6A085FF2">
              <w:rPr>
                <w:rFonts w:ascii="Calibri" w:hAnsi="Calibri" w:eastAsia="Calibri" w:cs="Calibri" w:asciiTheme="minorAscii" w:hAnsiTheme="minorAscii" w:eastAsiaTheme="minorAscii" w:cstheme="minorAscii"/>
                <w:sz w:val="22"/>
                <w:szCs w:val="22"/>
              </w:rPr>
              <w:t xml:space="preserve">Play an important part in the wider safeguarding of children – </w:t>
            </w:r>
            <w:r w:rsidRPr="6C1DCF31" w:rsidR="6A085FF2">
              <w:rPr>
                <w:rFonts w:ascii="Calibri" w:hAnsi="Calibri" w:eastAsia="Calibri" w:cs="Calibri" w:asciiTheme="minorAscii" w:hAnsiTheme="minorAscii" w:eastAsiaTheme="minorAscii" w:cstheme="minorAscii"/>
                <w:sz w:val="22"/>
                <w:szCs w:val="22"/>
              </w:rPr>
              <w:t>identifying</w:t>
            </w:r>
            <w:r w:rsidRPr="6C1DCF31" w:rsidR="6A085FF2">
              <w:rPr>
                <w:rFonts w:ascii="Calibri" w:hAnsi="Calibri" w:eastAsia="Calibri" w:cs="Calibri" w:asciiTheme="minorAscii" w:hAnsiTheme="minorAscii" w:eastAsiaTheme="minorAscii" w:cstheme="minorAscii"/>
                <w:sz w:val="22"/>
                <w:szCs w:val="22"/>
              </w:rPr>
              <w:t xml:space="preserve"> concerns, sharing </w:t>
            </w:r>
            <w:r w:rsidRPr="6C1DCF31" w:rsidR="6A085FF2">
              <w:rPr>
                <w:rFonts w:ascii="Calibri" w:hAnsi="Calibri" w:eastAsia="Calibri" w:cs="Calibri" w:asciiTheme="minorAscii" w:hAnsiTheme="minorAscii" w:eastAsiaTheme="minorAscii" w:cstheme="minorAscii"/>
                <w:sz w:val="22"/>
                <w:szCs w:val="22"/>
              </w:rPr>
              <w:t>information</w:t>
            </w:r>
            <w:r w:rsidRPr="6C1DCF31" w:rsidR="6A085FF2">
              <w:rPr>
                <w:rFonts w:ascii="Calibri" w:hAnsi="Calibri" w:eastAsia="Calibri" w:cs="Calibri" w:asciiTheme="minorAscii" w:hAnsiTheme="minorAscii" w:eastAsiaTheme="minorAscii" w:cstheme="minorAscii"/>
                <w:sz w:val="22"/>
                <w:szCs w:val="22"/>
              </w:rPr>
              <w:t xml:space="preserve"> and taking prompt action to safeguard and protect them.</w:t>
            </w:r>
          </w:p>
        </w:tc>
        <w:tc>
          <w:tcPr>
            <w:tcW w:w="1272" w:type="dxa"/>
            <w:shd w:val="clear" w:color="auto" w:fill="FFFFFF" w:themeFill="background1"/>
            <w:tcMar/>
            <w:vAlign w:val="center"/>
          </w:tcPr>
          <w:p w:rsidRPr="00766F5D" w:rsidR="00546010" w:rsidP="00546010" w:rsidRDefault="00546010" w14:paraId="5652CCC2"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010" w:rsidP="00546010" w:rsidRDefault="00546010" w14:paraId="4186035F"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010" w:rsidP="00546010" w:rsidRDefault="00546010" w14:paraId="4D3C25A2" w14:textId="77777777">
            <w:pPr>
              <w:pStyle w:val="ListParagraph"/>
              <w:spacing w:before="240"/>
              <w:ind w:left="360"/>
              <w:jc w:val="center"/>
              <w:rPr>
                <w:rFonts w:ascii="Avenir Next LT Pro" w:hAnsi="Avenir Next LT Pro" w:cstheme="minorHAnsi"/>
                <w:b/>
                <w:bCs/>
                <w:sz w:val="20"/>
                <w:szCs w:val="20"/>
              </w:rPr>
            </w:pPr>
          </w:p>
        </w:tc>
      </w:tr>
      <w:tr w:rsidRPr="00766F5D" w:rsidR="00546010" w:rsidTr="6C1DCF31" w14:paraId="5DF54620" w14:textId="77777777">
        <w:tc>
          <w:tcPr>
            <w:tcW w:w="5240" w:type="dxa"/>
            <w:shd w:val="clear" w:color="auto" w:fill="FFFFFF" w:themeFill="background1"/>
            <w:tcMar/>
          </w:tcPr>
          <w:p w:rsidRPr="00766F5D" w:rsidR="00546010" w:rsidP="6C1DCF31" w:rsidRDefault="00546010" w14:paraId="2160FFCD" w14:textId="77777777">
            <w:pPr>
              <w:pStyle w:val="Normal"/>
              <w:spacing w:before="240"/>
              <w:ind w:left="0"/>
              <w:rPr>
                <w:rFonts w:ascii="Calibri" w:hAnsi="Calibri" w:eastAsia="Calibri" w:cs="Calibri" w:asciiTheme="minorAscii" w:hAnsiTheme="minorAscii" w:eastAsiaTheme="minorAscii" w:cstheme="minorAscii"/>
                <w:sz w:val="22"/>
                <w:szCs w:val="22"/>
              </w:rPr>
            </w:pPr>
            <w:r w:rsidRPr="6C1DCF31" w:rsidR="6A085FF2">
              <w:rPr>
                <w:rFonts w:ascii="Calibri" w:hAnsi="Calibri" w:eastAsia="Calibri" w:cs="Calibri" w:asciiTheme="minorAscii" w:hAnsiTheme="minorAscii" w:eastAsiaTheme="minorAscii" w:cstheme="minorAscii"/>
                <w:sz w:val="22"/>
                <w:szCs w:val="22"/>
              </w:rPr>
              <w:t xml:space="preserve">Aware that the Trust will take all steps to prevent those who pose a risk of harm from working with children. Recruitment procedures ensure rigour in </w:t>
            </w:r>
            <w:r w:rsidRPr="6C1DCF31" w:rsidR="6A085FF2">
              <w:rPr>
                <w:rFonts w:ascii="Calibri" w:hAnsi="Calibri" w:eastAsia="Calibri" w:cs="Calibri" w:asciiTheme="minorAscii" w:hAnsiTheme="minorAscii" w:eastAsiaTheme="minorAscii" w:cstheme="minorAscii"/>
                <w:sz w:val="22"/>
                <w:szCs w:val="22"/>
              </w:rPr>
              <w:t>identifying</w:t>
            </w:r>
            <w:r w:rsidRPr="6C1DCF31" w:rsidR="6A085FF2">
              <w:rPr>
                <w:rFonts w:ascii="Calibri" w:hAnsi="Calibri" w:eastAsia="Calibri" w:cs="Calibri" w:asciiTheme="minorAscii" w:hAnsiTheme="minorAscii" w:eastAsiaTheme="minorAscii" w:cstheme="minorAscii"/>
                <w:sz w:val="22"/>
                <w:szCs w:val="22"/>
              </w:rPr>
              <w:t xml:space="preserve"> and rejecting people who might abuse children.</w:t>
            </w:r>
          </w:p>
        </w:tc>
        <w:tc>
          <w:tcPr>
            <w:tcW w:w="1272" w:type="dxa"/>
            <w:shd w:val="clear" w:color="auto" w:fill="FFFFFF" w:themeFill="background1"/>
            <w:tcMar/>
            <w:vAlign w:val="center"/>
          </w:tcPr>
          <w:p w:rsidRPr="00766F5D" w:rsidR="00546010" w:rsidP="00546010" w:rsidRDefault="00546010" w14:paraId="2142297A"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010" w:rsidP="00546010" w:rsidRDefault="00546010" w14:paraId="023DE42C"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010" w:rsidP="00546010" w:rsidRDefault="00546010" w14:paraId="1B671DF7" w14:textId="77777777">
            <w:pPr>
              <w:pStyle w:val="ListParagraph"/>
              <w:spacing w:before="240"/>
              <w:ind w:left="360"/>
              <w:jc w:val="center"/>
              <w:rPr>
                <w:rFonts w:ascii="Avenir Next LT Pro" w:hAnsi="Avenir Next LT Pro" w:cstheme="minorHAnsi"/>
                <w:b/>
                <w:bCs/>
                <w:sz w:val="20"/>
                <w:szCs w:val="20"/>
              </w:rPr>
            </w:pPr>
          </w:p>
        </w:tc>
      </w:tr>
      <w:tr w:rsidRPr="00766F5D" w:rsidR="00546010" w:rsidTr="6C1DCF31" w14:paraId="58063E09" w14:textId="77777777">
        <w:tc>
          <w:tcPr>
            <w:tcW w:w="5240" w:type="dxa"/>
            <w:tcBorders>
              <w:right w:val="single" w:color="205C40" w:sz="4" w:space="0"/>
            </w:tcBorders>
            <w:shd w:val="clear" w:color="auto" w:fill="205C40"/>
            <w:tcMar/>
          </w:tcPr>
          <w:p w:rsidRPr="00766F5D" w:rsidR="00546010" w:rsidP="00546010" w:rsidRDefault="00546010" w14:paraId="25902FB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color="205C40" w:sz="4" w:space="0"/>
              <w:right w:val="single" w:color="205C40" w:sz="4" w:space="0"/>
            </w:tcBorders>
            <w:shd w:val="clear" w:color="auto" w:fill="205C40"/>
            <w:tcMar/>
            <w:vAlign w:val="center"/>
          </w:tcPr>
          <w:p w:rsidRPr="00766F5D" w:rsidR="00546010" w:rsidP="00546010" w:rsidRDefault="00546010" w14:paraId="27833D26"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546010" w:rsidP="00546010" w:rsidRDefault="00546010" w14:paraId="70CDA116"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546010" w:rsidP="00546010" w:rsidRDefault="00546010" w14:paraId="1BA9B15F" w14:textId="77777777">
            <w:pPr>
              <w:spacing w:before="240"/>
              <w:jc w:val="center"/>
              <w:rPr>
                <w:rFonts w:ascii="Avenir Next LT Pro" w:hAnsi="Avenir Next LT Pro" w:cstheme="minorHAnsi"/>
                <w:b/>
                <w:bCs/>
                <w:sz w:val="20"/>
                <w:szCs w:val="20"/>
              </w:rPr>
            </w:pPr>
          </w:p>
        </w:tc>
      </w:tr>
      <w:tr w:rsidRPr="00766F5D" w:rsidR="00546010" w:rsidTr="6C1DCF31" w14:paraId="19EBFC35" w14:textId="77777777">
        <w:tc>
          <w:tcPr>
            <w:tcW w:w="5240" w:type="dxa"/>
            <w:shd w:val="clear" w:color="auto" w:fill="FFFFFF" w:themeFill="background1"/>
            <w:tcMar/>
          </w:tcPr>
          <w:p w:rsidRPr="00766F5D" w:rsidR="00546010" w:rsidP="6C1DCF31" w:rsidRDefault="00546010" w14:paraId="0286C5C7" w14:textId="3CFDF5D1">
            <w:pPr>
              <w:pStyle w:val="Normal"/>
              <w:spacing w:before="240"/>
              <w:ind w:left="0"/>
              <w:rPr>
                <w:rFonts w:ascii="Calibri" w:hAnsi="Calibri" w:eastAsia="Calibri" w:cs="Calibri" w:asciiTheme="minorAscii" w:hAnsiTheme="minorAscii" w:eastAsiaTheme="minorAscii" w:cstheme="minorAscii"/>
                <w:sz w:val="22"/>
                <w:szCs w:val="22"/>
              </w:rPr>
            </w:pPr>
            <w:r w:rsidRPr="6C1DCF31" w:rsidR="0E1A05FF">
              <w:rPr>
                <w:rFonts w:ascii="Calibri" w:hAnsi="Calibri" w:eastAsia="Calibri" w:cs="Calibri" w:asciiTheme="minorAscii" w:hAnsiTheme="minorAscii" w:eastAsiaTheme="minorAscii" w:cstheme="minorAscii"/>
                <w:sz w:val="22"/>
                <w:szCs w:val="22"/>
              </w:rPr>
              <w:t xml:space="preserve">Aware of Health </w:t>
            </w:r>
            <w:r w:rsidRPr="6C1DCF31" w:rsidR="3E8FC833">
              <w:rPr>
                <w:rFonts w:ascii="Calibri" w:hAnsi="Calibri" w:eastAsia="Calibri" w:cs="Calibri" w:asciiTheme="minorAscii" w:hAnsiTheme="minorAscii" w:eastAsiaTheme="minorAscii" w:cstheme="minorAscii"/>
                <w:sz w:val="22"/>
                <w:szCs w:val="22"/>
              </w:rPr>
              <w:t>and</w:t>
            </w:r>
            <w:r w:rsidRPr="6C1DCF31" w:rsidR="0E1A05FF">
              <w:rPr>
                <w:rFonts w:ascii="Calibri" w:hAnsi="Calibri" w:eastAsia="Calibri" w:cs="Calibri" w:asciiTheme="minorAscii" w:hAnsiTheme="minorAscii" w:eastAsiaTheme="minorAscii" w:cstheme="minorAscii"/>
                <w:sz w:val="22"/>
                <w:szCs w:val="22"/>
              </w:rPr>
              <w:t xml:space="preserve"> Safety and Safeguarding as </w:t>
            </w:r>
            <w:r w:rsidRPr="6C1DCF31" w:rsidR="0E1A05FF">
              <w:rPr>
                <w:rFonts w:ascii="Calibri" w:hAnsi="Calibri" w:eastAsia="Calibri" w:cs="Calibri" w:asciiTheme="minorAscii" w:hAnsiTheme="minorAscii" w:eastAsiaTheme="minorAscii" w:cstheme="minorAscii"/>
                <w:sz w:val="22"/>
                <w:szCs w:val="22"/>
              </w:rPr>
              <w:t>appropriate to</w:t>
            </w:r>
            <w:r w:rsidRPr="6C1DCF31" w:rsidR="0E1A05FF">
              <w:rPr>
                <w:rFonts w:ascii="Calibri" w:hAnsi="Calibri" w:eastAsia="Calibri" w:cs="Calibri" w:asciiTheme="minorAscii" w:hAnsiTheme="minorAscii" w:eastAsiaTheme="minorAscii" w:cstheme="minorAscii"/>
                <w:sz w:val="22"/>
                <w:szCs w:val="22"/>
              </w:rPr>
              <w:t xml:space="preserve"> role</w:t>
            </w:r>
          </w:p>
        </w:tc>
        <w:tc>
          <w:tcPr>
            <w:tcW w:w="1272" w:type="dxa"/>
            <w:shd w:val="clear" w:color="auto" w:fill="FFFFFF" w:themeFill="background1"/>
            <w:tcMar/>
            <w:vAlign w:val="center"/>
          </w:tcPr>
          <w:p w:rsidRPr="00766F5D" w:rsidR="00546010" w:rsidP="00546010" w:rsidRDefault="00546010" w14:paraId="075E02FE"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546010" w:rsidP="00546010" w:rsidRDefault="00546010" w14:paraId="3CA57762"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546010" w:rsidP="00546010" w:rsidRDefault="00546010" w14:paraId="32E1C269" w14:textId="77777777">
            <w:pPr>
              <w:spacing w:before="240"/>
              <w:jc w:val="center"/>
              <w:rPr>
                <w:rFonts w:ascii="Avenir Next LT Pro" w:hAnsi="Avenir Next LT Pro" w:cstheme="minorHAnsi"/>
                <w:b/>
                <w:bCs/>
                <w:sz w:val="20"/>
                <w:szCs w:val="20"/>
              </w:rPr>
            </w:pPr>
          </w:p>
        </w:tc>
      </w:tr>
    </w:tbl>
    <w:p w:rsidR="6C1DCF31" w:rsidP="6C1DCF31" w:rsidRDefault="6C1DCF31" w14:paraId="638E133C" w14:textId="19011B4B">
      <w:pPr>
        <w:spacing w:before="60" w:after="60" w:line="240" w:lineRule="auto"/>
        <w:jc w:val="both"/>
        <w:rPr>
          <w:rFonts w:ascii="Avenir Next LT Pro" w:hAnsi="Avenir Next LT Pro" w:cs="Calibri"/>
          <w:i w:val="1"/>
          <w:iCs w:val="1"/>
          <w:sz w:val="20"/>
          <w:szCs w:val="20"/>
          <w:lang w:eastAsia="en-GB"/>
        </w:rPr>
      </w:pPr>
    </w:p>
    <w:p w:rsidRPr="00766F5D" w:rsidR="00B43C1D" w:rsidP="00B43C1D" w:rsidRDefault="00B43C1D" w14:paraId="1860F29A"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rsidRPr="00766F5D" w:rsidR="00B43C1D" w:rsidP="00B43C1D" w:rsidRDefault="00B43C1D" w14:paraId="5A47B5FE"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0C1DA605"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rsidRPr="00766F5D" w:rsidR="00B43C1D" w:rsidP="00B43C1D" w:rsidRDefault="00B43C1D" w14:paraId="6876D200"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31632F14"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766F5D" w:rsidR="00B43C1D" w:rsidP="00B43C1D" w:rsidRDefault="00B43C1D" w14:paraId="4511ED6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5BCC7748"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766F5D" w:rsidR="00B43C1D" w:rsidP="00B43C1D" w:rsidRDefault="00B43C1D" w14:paraId="4E08E537"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6C1DCF31" w:rsidRDefault="00B43C1D" w14:paraId="464E4393" w14:textId="77777777">
      <w:pPr>
        <w:spacing w:line="240" w:lineRule="auto"/>
        <w:rPr>
          <w:rFonts w:ascii="Avenir Next LT Pro" w:hAnsi="Avenir Next LT Pro"/>
          <w:i w:val="1"/>
          <w:iCs w:val="1"/>
          <w:sz w:val="20"/>
          <w:szCs w:val="20"/>
        </w:rPr>
      </w:pPr>
      <w:r w:rsidRPr="6C1DCF31" w:rsidR="00B43C1D">
        <w:rPr>
          <w:rFonts w:ascii="Avenir Next LT Pro" w:hAnsi="Avenir Next LT Pro" w:eastAsia="Times New Roman"/>
          <w:i w:val="1"/>
          <w:iCs w:val="1"/>
          <w:color w:val="000000"/>
          <w:sz w:val="20"/>
          <w:szCs w:val="20"/>
          <w:shd w:val="clear" w:color="auto" w:fill="FFFFFF"/>
        </w:rPr>
        <w:t xml:space="preserve">The David Ross Education Trust is committed to safeguarding and promoting the welfare of children and applicants must be willing to undergo vetting </w:t>
      </w:r>
      <w:r w:rsidRPr="6C1DCF31" w:rsidR="00B43C1D">
        <w:rPr>
          <w:rFonts w:ascii="Avenir Next LT Pro" w:hAnsi="Avenir Next LT Pro" w:eastAsia="Times New Roman"/>
          <w:i w:val="1"/>
          <w:iCs w:val="1"/>
          <w:color w:val="000000"/>
          <w:sz w:val="20"/>
          <w:szCs w:val="20"/>
          <w:shd w:val="clear" w:color="auto" w:fill="FFFFFF"/>
        </w:rPr>
        <w:t>appropriate to</w:t>
      </w:r>
      <w:r w:rsidRPr="6C1DCF31" w:rsidR="00B43C1D">
        <w:rPr>
          <w:rFonts w:ascii="Avenir Next LT Pro" w:hAnsi="Avenir Next LT Pro" w:eastAsia="Times New Roman"/>
          <w:i w:val="1"/>
          <w:iCs w:val="1"/>
          <w:color w:val="000000"/>
          <w:sz w:val="20"/>
          <w:szCs w:val="20"/>
          <w:shd w:val="clear" w:color="auto" w:fill="FFFFFF"/>
        </w:rPr>
        <w:t xml:space="preserve"> the post, including a social media presence check and Enhanced DBS check. </w:t>
      </w:r>
      <w:r w:rsidRPr="6C1DCF31" w:rsidR="00B43C1D">
        <w:rPr>
          <w:rFonts w:ascii="Avenir Next LT Pro" w:hAnsi="Avenir Next LT Pro"/>
          <w:i w:val="1"/>
          <w:iCs w:val="1"/>
          <w:sz w:val="20"/>
          <w:szCs w:val="20"/>
        </w:rPr>
        <w:t>The successful applicant will be expected to adhere to all safeguarding, welfare and health and safety policies and procedures of the Trust.</w:t>
      </w:r>
      <w:r w:rsidRPr="6C1DCF31" w:rsidR="00C309DB">
        <w:rPr>
          <w:rFonts w:ascii="Avenir Next LT Pro" w:hAnsi="Avenir Next LT Pro"/>
          <w:i w:val="1"/>
          <w:iCs w:val="1"/>
          <w:sz w:val="20"/>
          <w:szCs w:val="20"/>
        </w:rPr>
        <w:t xml:space="preserve"> </w:t>
      </w:r>
    </w:p>
    <w:p w:rsidRPr="00766F5D" w:rsidR="00B85158" w:rsidP="6C1DCF31" w:rsidRDefault="00B85158" w14:paraId="43833B04" w14:textId="77777777">
      <w:pPr>
        <w:spacing w:after="0" w:line="240" w:lineRule="auto"/>
        <w:rPr>
          <w:rFonts w:ascii="Avenir Next LT Pro" w:hAnsi="Avenir Next LT Pro"/>
          <w:i w:val="1"/>
          <w:iCs w:val="1"/>
          <w:sz w:val="20"/>
          <w:szCs w:val="20"/>
        </w:rPr>
      </w:pPr>
    </w:p>
    <w:p w:rsidRPr="00766F5D" w:rsidR="00B43C1D" w:rsidP="6C1DCF31" w:rsidRDefault="00B43C1D" w14:paraId="54D0C982" w14:textId="4E3E11D3">
      <w:pPr>
        <w:spacing w:after="0" w:line="240" w:lineRule="auto"/>
        <w:rPr>
          <w:rFonts w:ascii="Avenir Next LT Pro" w:hAnsi="Avenir Next LT Pro" w:cs="Calibri"/>
          <w:i w:val="1"/>
          <w:iCs w:val="1"/>
          <w:sz w:val="20"/>
          <w:szCs w:val="20"/>
        </w:rPr>
      </w:pPr>
      <w:r w:rsidRPr="6C1DCF31" w:rsidR="00B43C1D">
        <w:rPr>
          <w:rFonts w:ascii="Avenir Next LT Pro" w:hAnsi="Avenir Next LT Pro"/>
          <w:b w:val="1"/>
          <w:bCs w:val="1"/>
          <w:i w:val="1"/>
          <w:iCs w:val="1"/>
          <w:sz w:val="20"/>
          <w:szCs w:val="20"/>
        </w:rPr>
        <w:t>All pre-employment checks are in line with "Keeping Children Safe in Education" statutory guidance.</w:t>
      </w:r>
    </w:p>
    <w:sectPr w:rsidRPr="00766F5D" w:rsidR="00B43C1D"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51B" w:rsidP="001375E3" w:rsidRDefault="00E5551B" w14:paraId="517B6561" w14:textId="77777777">
      <w:pPr>
        <w:spacing w:after="0" w:line="240" w:lineRule="auto"/>
      </w:pPr>
      <w:r>
        <w:separator/>
      </w:r>
    </w:p>
  </w:endnote>
  <w:endnote w:type="continuationSeparator" w:id="0">
    <w:p w:rsidR="00E5551B" w:rsidP="001375E3" w:rsidRDefault="00E5551B" w14:paraId="73D48D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6A8E" w:rsidR="00C76A8E" w:rsidRDefault="00C76A8E" w14:paraId="6789AF9A" w14:textId="77777777">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51B" w:rsidP="001375E3" w:rsidRDefault="00E5551B" w14:paraId="232DFA00" w14:textId="77777777">
      <w:pPr>
        <w:spacing w:after="0" w:line="240" w:lineRule="auto"/>
      </w:pPr>
      <w:r>
        <w:separator/>
      </w:r>
    </w:p>
  </w:footnote>
  <w:footnote w:type="continuationSeparator" w:id="0">
    <w:p w:rsidR="00E5551B" w:rsidP="001375E3" w:rsidRDefault="00E5551B" w14:paraId="68C581C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8CF5C5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0pt;height:384pt" o:bullet="t" type="#_x0000_t75">
        <v:imagedata o:title="Picture1" r:id="rId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72832EA"/>
    <w:multiLevelType w:val="hybridMultilevel"/>
    <w:tmpl w:val="389AC384"/>
    <w:lvl w:ilvl="0" w:tplc="C53E56C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A312AC"/>
    <w:multiLevelType w:val="hybridMultilevel"/>
    <w:tmpl w:val="E40A0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45529644">
    <w:abstractNumId w:val="2"/>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0"/>
  </w:num>
  <w:num w:numId="8" w16cid:durableId="1120221488">
    <w:abstractNumId w:val="1"/>
  </w:num>
  <w:num w:numId="9" w16cid:durableId="279996073">
    <w:abstractNumId w:val="4"/>
  </w:num>
  <w:num w:numId="10" w16cid:durableId="387648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2888"/>
    <w:rsid w:val="000573E1"/>
    <w:rsid w:val="00073C05"/>
    <w:rsid w:val="00083188"/>
    <w:rsid w:val="000B77B7"/>
    <w:rsid w:val="001009A3"/>
    <w:rsid w:val="00122127"/>
    <w:rsid w:val="00127B1E"/>
    <w:rsid w:val="001375E3"/>
    <w:rsid w:val="001527C6"/>
    <w:rsid w:val="001A051B"/>
    <w:rsid w:val="001A7462"/>
    <w:rsid w:val="001B383E"/>
    <w:rsid w:val="001B739A"/>
    <w:rsid w:val="001D1B52"/>
    <w:rsid w:val="001E1188"/>
    <w:rsid w:val="001E16AE"/>
    <w:rsid w:val="0024589B"/>
    <w:rsid w:val="00256906"/>
    <w:rsid w:val="00263427"/>
    <w:rsid w:val="00274314"/>
    <w:rsid w:val="002A1E68"/>
    <w:rsid w:val="002B175C"/>
    <w:rsid w:val="002D0629"/>
    <w:rsid w:val="00321669"/>
    <w:rsid w:val="003258DE"/>
    <w:rsid w:val="003C3772"/>
    <w:rsid w:val="003D18AB"/>
    <w:rsid w:val="003D4BCC"/>
    <w:rsid w:val="004011A3"/>
    <w:rsid w:val="00401223"/>
    <w:rsid w:val="00425784"/>
    <w:rsid w:val="00482082"/>
    <w:rsid w:val="00490BEB"/>
    <w:rsid w:val="004B1674"/>
    <w:rsid w:val="004E662A"/>
    <w:rsid w:val="00520984"/>
    <w:rsid w:val="00533B73"/>
    <w:rsid w:val="00546010"/>
    <w:rsid w:val="00546996"/>
    <w:rsid w:val="005710FE"/>
    <w:rsid w:val="00595331"/>
    <w:rsid w:val="005D632C"/>
    <w:rsid w:val="005E5ACC"/>
    <w:rsid w:val="006375D1"/>
    <w:rsid w:val="006A09D4"/>
    <w:rsid w:val="006E1E32"/>
    <w:rsid w:val="006F3FC5"/>
    <w:rsid w:val="00706C35"/>
    <w:rsid w:val="00740886"/>
    <w:rsid w:val="00741581"/>
    <w:rsid w:val="0074195A"/>
    <w:rsid w:val="00755957"/>
    <w:rsid w:val="00757EAA"/>
    <w:rsid w:val="0076576C"/>
    <w:rsid w:val="00766F5D"/>
    <w:rsid w:val="00771BA2"/>
    <w:rsid w:val="00790CD6"/>
    <w:rsid w:val="007E4108"/>
    <w:rsid w:val="008061FE"/>
    <w:rsid w:val="00817965"/>
    <w:rsid w:val="00825A6C"/>
    <w:rsid w:val="0087703D"/>
    <w:rsid w:val="008B5E90"/>
    <w:rsid w:val="008E2871"/>
    <w:rsid w:val="00914AC3"/>
    <w:rsid w:val="00944112"/>
    <w:rsid w:val="00944B31"/>
    <w:rsid w:val="009523F4"/>
    <w:rsid w:val="009642EC"/>
    <w:rsid w:val="00995555"/>
    <w:rsid w:val="009A29AC"/>
    <w:rsid w:val="009B147B"/>
    <w:rsid w:val="00A45537"/>
    <w:rsid w:val="00AA01A9"/>
    <w:rsid w:val="00AA736A"/>
    <w:rsid w:val="00AC08E7"/>
    <w:rsid w:val="00AD223C"/>
    <w:rsid w:val="00B003BB"/>
    <w:rsid w:val="00B10D84"/>
    <w:rsid w:val="00B344CB"/>
    <w:rsid w:val="00B43C1D"/>
    <w:rsid w:val="00B4499A"/>
    <w:rsid w:val="00B57410"/>
    <w:rsid w:val="00B85158"/>
    <w:rsid w:val="00B91740"/>
    <w:rsid w:val="00BC321A"/>
    <w:rsid w:val="00BD507B"/>
    <w:rsid w:val="00BE1D9C"/>
    <w:rsid w:val="00BE6A5B"/>
    <w:rsid w:val="00C24294"/>
    <w:rsid w:val="00C2510F"/>
    <w:rsid w:val="00C309DB"/>
    <w:rsid w:val="00C5195E"/>
    <w:rsid w:val="00C76A8E"/>
    <w:rsid w:val="00C870FA"/>
    <w:rsid w:val="00CD1B5D"/>
    <w:rsid w:val="00D11B4A"/>
    <w:rsid w:val="00D25318"/>
    <w:rsid w:val="00D56872"/>
    <w:rsid w:val="00D64CAF"/>
    <w:rsid w:val="00DA1B1A"/>
    <w:rsid w:val="00DA1CBB"/>
    <w:rsid w:val="00DC2E99"/>
    <w:rsid w:val="00E17DF1"/>
    <w:rsid w:val="00E5551B"/>
    <w:rsid w:val="00E8365D"/>
    <w:rsid w:val="00E844A9"/>
    <w:rsid w:val="00ED040D"/>
    <w:rsid w:val="00ED2225"/>
    <w:rsid w:val="00F15BB3"/>
    <w:rsid w:val="00F17712"/>
    <w:rsid w:val="00F3705B"/>
    <w:rsid w:val="00FA287D"/>
    <w:rsid w:val="00FA49A3"/>
    <w:rsid w:val="00FA4C7B"/>
    <w:rsid w:val="00FF3F18"/>
    <w:rsid w:val="01D6E0B0"/>
    <w:rsid w:val="05A5998B"/>
    <w:rsid w:val="06030575"/>
    <w:rsid w:val="09257598"/>
    <w:rsid w:val="0A55D0C9"/>
    <w:rsid w:val="0E1A05FF"/>
    <w:rsid w:val="0EDC9CCF"/>
    <w:rsid w:val="13D8A843"/>
    <w:rsid w:val="161B4759"/>
    <w:rsid w:val="1782486F"/>
    <w:rsid w:val="1CDC16CE"/>
    <w:rsid w:val="1D306671"/>
    <w:rsid w:val="21F66AC1"/>
    <w:rsid w:val="24B3F2C3"/>
    <w:rsid w:val="2D3CEAD1"/>
    <w:rsid w:val="30571082"/>
    <w:rsid w:val="359DB826"/>
    <w:rsid w:val="36CEE37F"/>
    <w:rsid w:val="3E8FC833"/>
    <w:rsid w:val="4171A928"/>
    <w:rsid w:val="43B1169D"/>
    <w:rsid w:val="4816EF9F"/>
    <w:rsid w:val="4CC0CA1F"/>
    <w:rsid w:val="507DF1DA"/>
    <w:rsid w:val="5084CE2F"/>
    <w:rsid w:val="51B4AB2B"/>
    <w:rsid w:val="539B7C7D"/>
    <w:rsid w:val="5598E18F"/>
    <w:rsid w:val="565B37A4"/>
    <w:rsid w:val="56BFF639"/>
    <w:rsid w:val="59E68496"/>
    <w:rsid w:val="5CC95ADF"/>
    <w:rsid w:val="5F8461B6"/>
    <w:rsid w:val="608DF4E0"/>
    <w:rsid w:val="66B8952E"/>
    <w:rsid w:val="6A085FF2"/>
    <w:rsid w:val="6B5755A9"/>
    <w:rsid w:val="6C1DCF31"/>
    <w:rsid w:val="6DACC577"/>
    <w:rsid w:val="6DB5AAC1"/>
    <w:rsid w:val="6F84214B"/>
    <w:rsid w:val="6FCB6514"/>
    <w:rsid w:val="6FE63992"/>
    <w:rsid w:val="7119868C"/>
    <w:rsid w:val="76A54D1C"/>
    <w:rsid w:val="7B18F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 w:type="paragraph" w:styleId="NoSpacing">
    <w:name w:val="No Spacing"/>
    <w:uiPriority w:val="1"/>
    <w:qFormat/>
    <w:rsid w:val="0024589B"/>
    <w:pPr>
      <w:spacing w:after="0" w:line="240" w:lineRule="auto"/>
    </w:pPr>
  </w:style>
  <w:style w:type="paragraph" w:styleId="PlainText">
    <w:name w:val="Plain Text"/>
    <w:basedOn w:val="Normal"/>
    <w:link w:val="PlainTextChar"/>
    <w:uiPriority w:val="99"/>
    <w:rsid w:val="00D64CAF"/>
    <w:pPr>
      <w:spacing w:after="0" w:line="240" w:lineRule="auto"/>
    </w:pPr>
    <w:rPr>
      <w:rFonts w:ascii="Courier New" w:hAnsi="Courier New" w:eastAsia="Times New Roman" w:cs="Courier New"/>
      <w:sz w:val="20"/>
      <w:szCs w:val="20"/>
      <w:lang w:eastAsia="en-GB"/>
    </w:rPr>
  </w:style>
  <w:style w:type="character" w:styleId="PlainTextChar" w:customStyle="1">
    <w:name w:val="Plain Text Char"/>
    <w:basedOn w:val="DefaultParagraphFont"/>
    <w:link w:val="PlainText"/>
    <w:uiPriority w:val="99"/>
    <w:rsid w:val="00D64CAF"/>
    <w:rPr>
      <w:rFonts w:ascii="Courier New" w:hAnsi="Courier New" w:eastAsia="Times New Roman" w:cs="Courier New"/>
      <w:sz w:val="20"/>
      <w:szCs w:val="20"/>
      <w:lang w:eastAsia="en-GB"/>
    </w:rPr>
  </w:style>
  <w:style w:type="character" w:styleId="normaltextrun" w:customStyle="1">
    <w:name w:val="normaltextrun"/>
    <w:basedOn w:val="DefaultParagraphFont"/>
    <w:rsid w:val="00790CD6"/>
  </w:style>
  <w:style w:type="paragraph" w:styleId="paragraph" w:customStyle="1">
    <w:name w:val="paragraph"/>
    <w:basedOn w:val="Normal"/>
    <w:rsid w:val="00CD1B5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CD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B22D5-5841-49F0-A943-039541CFB46C}"/>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Lorraine Walker</lastModifiedBy>
  <revision>17</revision>
  <dcterms:created xsi:type="dcterms:W3CDTF">2026-03-03T11:44:00.0000000Z</dcterms:created>
  <dcterms:modified xsi:type="dcterms:W3CDTF">2026-03-03T14:37:28.4462414Z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