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ource Sans Pro" w:hAnsi="Source Sans Pro"/>
          <w:sz w:val="22"/>
          <w:szCs w:val="22"/>
        </w:rPr>
        <w:id w:val="-49382557"/>
        <w:docPartObj>
          <w:docPartGallery w:val="Cover Pages"/>
          <w:docPartUnique/>
        </w:docPartObj>
      </w:sdtPr>
      <w:sdtEndPr>
        <w:rPr>
          <w:b/>
          <w:bCs/>
        </w:rPr>
      </w:sdtEndPr>
      <w:sdtContent>
        <w:p w14:paraId="1FDD6346" w14:textId="77777777" w:rsidR="008174CF" w:rsidRPr="00721008" w:rsidRDefault="008174CF" w:rsidP="00721008">
          <w:pPr>
            <w:rPr>
              <w:rFonts w:ascii="Source Sans Pro" w:hAnsi="Source Sans Pro"/>
              <w:sz w:val="22"/>
              <w:szCs w:val="22"/>
            </w:rPr>
          </w:pPr>
          <w:r w:rsidRPr="00721008">
            <w:rPr>
              <w:rFonts w:ascii="Source Sans Pro" w:hAnsi="Source Sans Pro"/>
              <w:noProof/>
              <w:sz w:val="22"/>
              <w:szCs w:val="22"/>
            </w:rPr>
            <w:drawing>
              <wp:anchor distT="0" distB="0" distL="114300" distR="114300" simplePos="0" relativeHeight="251662336" behindDoc="0" locked="0" layoutInCell="1" allowOverlap="1" wp14:anchorId="0B1969CB" wp14:editId="68FC4472">
                <wp:simplePos x="0" y="0"/>
                <wp:positionH relativeFrom="column">
                  <wp:posOffset>-634176</wp:posOffset>
                </wp:positionH>
                <wp:positionV relativeFrom="paragraph">
                  <wp:posOffset>-600075</wp:posOffset>
                </wp:positionV>
                <wp:extent cx="2367905" cy="2306471"/>
                <wp:effectExtent l="0" t="0" r="0" b="0"/>
                <wp:wrapNone/>
                <wp:docPr id="60807225" name="Picture 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7225" name="Picture 5"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7905" cy="2306471"/>
                        </a:xfrm>
                        <a:prstGeom prst="rect">
                          <a:avLst/>
                        </a:prstGeom>
                      </pic:spPr>
                    </pic:pic>
                  </a:graphicData>
                </a:graphic>
                <wp14:sizeRelH relativeFrom="page">
                  <wp14:pctWidth>0</wp14:pctWidth>
                </wp14:sizeRelH>
                <wp14:sizeRelV relativeFrom="page">
                  <wp14:pctHeight>0</wp14:pctHeight>
                </wp14:sizeRelV>
              </wp:anchor>
            </w:drawing>
          </w:r>
          <w:r w:rsidRPr="00721008">
            <w:rPr>
              <w:rFonts w:ascii="Source Sans Pro" w:hAnsi="Source Sans Pro"/>
              <w:noProof/>
              <w:sz w:val="22"/>
              <w:szCs w:val="22"/>
            </w:rPr>
            <mc:AlternateContent>
              <mc:Choice Requires="wpg">
                <w:drawing>
                  <wp:anchor distT="0" distB="0" distL="114300" distR="114300" simplePos="0" relativeHeight="251659264" behindDoc="0" locked="0" layoutInCell="1" allowOverlap="1" wp14:anchorId="30DAAFFE" wp14:editId="509E704D">
                    <wp:simplePos x="0" y="0"/>
                    <wp:positionH relativeFrom="column">
                      <wp:posOffset>3619500</wp:posOffset>
                    </wp:positionH>
                    <wp:positionV relativeFrom="paragraph">
                      <wp:posOffset>-914400</wp:posOffset>
                    </wp:positionV>
                    <wp:extent cx="3094561" cy="9763125"/>
                    <wp:effectExtent l="0" t="0" r="0" b="28575"/>
                    <wp:wrapNone/>
                    <wp:docPr id="1" name="Group 1"/>
                    <wp:cNvGraphicFramePr/>
                    <a:graphic xmlns:a="http://schemas.openxmlformats.org/drawingml/2006/main">
                      <a:graphicData uri="http://schemas.microsoft.com/office/word/2010/wordprocessingGroup">
                        <wpg:wgp>
                          <wpg:cNvGrpSpPr/>
                          <wpg:grpSpPr>
                            <a:xfrm>
                              <a:off x="0" y="0"/>
                              <a:ext cx="3094561" cy="9763125"/>
                              <a:chOff x="0" y="0"/>
                              <a:chExt cx="3095367" cy="10058400"/>
                            </a:xfrm>
                            <a:solidFill>
                              <a:srgbClr val="6DC000">
                                <a:alpha val="75000"/>
                              </a:srgbClr>
                            </a:solidFill>
                          </wpg:grpSpPr>
                          <wps:wsp>
                            <wps:cNvPr id="459" name="Rectangle 459" descr="Light vertical"/>
                            <wps:cNvSpPr>
                              <a:spLocks noChangeArrowheads="1"/>
                            </wps:cNvSpPr>
                            <wps:spPr bwMode="auto">
                              <a:xfrm>
                                <a:off x="0" y="0"/>
                                <a:ext cx="138545" cy="10058400"/>
                              </a:xfrm>
                              <a:prstGeom prst="rect">
                                <a:avLst/>
                              </a:prstGeom>
                              <a:pattFill prst="dkVert">
                                <a:fgClr>
                                  <a:srgbClr val="6DC000"/>
                                </a:fgClr>
                                <a:bgClr>
                                  <a:schemeClr val="bg1"/>
                                </a:bgClr>
                              </a:pattFill>
                              <a:ln w="12700">
                                <a:solidFill>
                                  <a:srgbClr val="FFFFFF">
                                    <a:alpha val="75000"/>
                                  </a:srgbClr>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3568" y="0"/>
                                <a:ext cx="2971799" cy="10058400"/>
                              </a:xfrm>
                              <a:prstGeom prst="rect">
                                <a:avLst/>
                              </a:prstGeom>
                              <a:solidFill>
                                <a:srgbClr val="6DC00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335115" y="1318260"/>
                                <a:ext cx="2427853" cy="1097280"/>
                              </a:xfrm>
                              <a:prstGeom prst="rect">
                                <a:avLst/>
                              </a:prstGeom>
                              <a:noFill/>
                              <a:ln w="12700">
                                <a:no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5F5F59B" w14:textId="0DDD6AEC" w:rsidR="008174CF" w:rsidRPr="008959A4" w:rsidRDefault="00707FBD" w:rsidP="008174CF">
                                  <w:pPr>
                                    <w:pStyle w:val="NoSpacing"/>
                                    <w:rPr>
                                      <w:rFonts w:ascii="Source Sans Pro" w:hAnsi="Source Sans Pro"/>
                                      <w:b/>
                                      <w:bCs/>
                                      <w:color w:val="FFFFFF" w:themeColor="background1"/>
                                      <w:sz w:val="36"/>
                                      <w:szCs w:val="36"/>
                                    </w:rPr>
                                  </w:pPr>
                                  <w:r>
                                    <w:rPr>
                                      <w:rFonts w:ascii="Source Sans Pro" w:hAnsi="Source Sans Pro" w:cs="Arial"/>
                                      <w:b/>
                                      <w:bCs/>
                                      <w:color w:val="FFFFFF" w:themeColor="background1"/>
                                      <w:sz w:val="36"/>
                                      <w:szCs w:val="36"/>
                                    </w:rPr>
                                    <w:t>June 2026</w:t>
                                  </w:r>
                                </w:p>
                              </w:txbxContent>
                            </wps:txbx>
                            <wps:bodyPr rot="0" vert="horz" wrap="square" lIns="365760" tIns="182880" rIns="182880" bIns="18288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DAAFFE" id="Group 1" o:spid="_x0000_s1026" style="position:absolute;margin-left:285pt;margin-top:-1in;width:243.65pt;height:768.75pt;z-index:251659264;mso-width-relative:margin;mso-height-relative:margin" coordsize="30953,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" fillcolor="#6dc000" strokecolor="white" strokeweight="1pt">
                      <v:fill r:id="rId11" o:title="" color2="white [3212]" type="pattern"/>
                      <v:stroke opacity="49087f"/>
                      <v:shadow color="#d8d8d8" offset="3pt,3pt"/>
                    </v:rect>
                    <v:rect id="Rectangle 460" o:spid="_x0000_s1028" style="position:absolute;left:1235;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" fillcolor="#6dc000" stroked="f" strokecolor="#d8d8d8"/>
                    <v:rect id="Rectangle 461" o:spid="_x0000_s1029" style="position:absolute;left:3351;top:13182;width:24278;height:109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" filled="f" stroked="f" strokeweight="1pt">
                      <v:shadow color="#d8d8d8" offset="3pt,3pt"/>
                      <v:textbox inset="28.8pt,14.4pt,14.4pt,14.4pt">
                        <w:txbxContent>
                          <w:p w14:paraId="75F5F59B" w14:textId="0DDD6AEC" w:rsidR="008174CF" w:rsidRPr="008959A4" w:rsidRDefault="00707FBD" w:rsidP="008174CF">
                            <w:pPr>
                              <w:pStyle w:val="NoSpacing"/>
                              <w:rPr>
                                <w:rFonts w:ascii="Source Sans Pro" w:hAnsi="Source Sans Pro"/>
                                <w:b/>
                                <w:bCs/>
                                <w:color w:val="FFFFFF" w:themeColor="background1"/>
                                <w:sz w:val="36"/>
                                <w:szCs w:val="36"/>
                              </w:rPr>
                            </w:pPr>
                            <w:r>
                              <w:rPr>
                                <w:rFonts w:ascii="Source Sans Pro" w:hAnsi="Source Sans Pro" w:cs="Arial"/>
                                <w:b/>
                                <w:bCs/>
                                <w:color w:val="FFFFFF" w:themeColor="background1"/>
                                <w:sz w:val="36"/>
                                <w:szCs w:val="36"/>
                              </w:rPr>
                              <w:t>June 2026</w:t>
                            </w:r>
                          </w:p>
                        </w:txbxContent>
                      </v:textbox>
                    </v:rect>
                  </v:group>
                </w:pict>
              </mc:Fallback>
            </mc:AlternateContent>
          </w:r>
        </w:p>
        <w:p w14:paraId="0B362F1A" w14:textId="77777777" w:rsidR="008174CF" w:rsidRPr="00721008" w:rsidRDefault="008174CF" w:rsidP="00721008">
          <w:pPr>
            <w:rPr>
              <w:rFonts w:ascii="Source Sans Pro" w:hAnsi="Source Sans Pro"/>
              <w:b/>
              <w:sz w:val="22"/>
              <w:szCs w:val="22"/>
            </w:rPr>
          </w:pPr>
          <w:r w:rsidRPr="00721008">
            <w:rPr>
              <w:rFonts w:ascii="Source Sans Pro" w:hAnsi="Source Sans Pro"/>
              <w:b/>
              <w:noProof/>
              <w:sz w:val="22"/>
              <w:szCs w:val="22"/>
            </w:rPr>
            <w:drawing>
              <wp:anchor distT="0" distB="0" distL="114300" distR="114300" simplePos="0" relativeHeight="251660288" behindDoc="0" locked="0" layoutInCell="1" allowOverlap="1" wp14:anchorId="69470952" wp14:editId="7E9DD053">
                <wp:simplePos x="0" y="0"/>
                <wp:positionH relativeFrom="page">
                  <wp:posOffset>285750</wp:posOffset>
                </wp:positionH>
                <wp:positionV relativeFrom="paragraph">
                  <wp:posOffset>2729865</wp:posOffset>
                </wp:positionV>
                <wp:extent cx="5445760" cy="3223895"/>
                <wp:effectExtent l="0" t="0" r="2540" b="0"/>
                <wp:wrapSquare wrapText="bothSides"/>
                <wp:docPr id="2" name="Picture 2" descr="A group of children sitting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children sitting on the floo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5760" cy="3223895"/>
                        </a:xfrm>
                        <a:prstGeom prst="rect">
                          <a:avLst/>
                        </a:prstGeom>
                      </pic:spPr>
                    </pic:pic>
                  </a:graphicData>
                </a:graphic>
                <wp14:sizeRelH relativeFrom="margin">
                  <wp14:pctWidth>0</wp14:pctWidth>
                </wp14:sizeRelH>
              </wp:anchor>
            </w:drawing>
          </w:r>
          <w:r w:rsidRPr="00721008">
            <w:rPr>
              <w:rFonts w:ascii="Source Sans Pro" w:hAnsi="Source Sans Pro"/>
              <w:noProof/>
              <w:sz w:val="22"/>
              <w:szCs w:val="22"/>
            </w:rPr>
            <mc:AlternateContent>
              <mc:Choice Requires="wps">
                <w:drawing>
                  <wp:anchor distT="0" distB="0" distL="114300" distR="114300" simplePos="0" relativeHeight="251661312" behindDoc="0" locked="0" layoutInCell="1" allowOverlap="1" wp14:anchorId="01F1C27F" wp14:editId="32BF4247">
                    <wp:simplePos x="0" y="0"/>
                    <wp:positionH relativeFrom="page">
                      <wp:posOffset>276225</wp:posOffset>
                    </wp:positionH>
                    <wp:positionV relativeFrom="paragraph">
                      <wp:posOffset>1567815</wp:posOffset>
                    </wp:positionV>
                    <wp:extent cx="7269480" cy="1171575"/>
                    <wp:effectExtent l="0" t="0" r="26670" b="28575"/>
                    <wp:wrapNone/>
                    <wp:docPr id="3" name="Text Box 3"/>
                    <wp:cNvGraphicFramePr/>
                    <a:graphic xmlns:a="http://schemas.openxmlformats.org/drawingml/2006/main">
                      <a:graphicData uri="http://schemas.microsoft.com/office/word/2010/wordprocessingShape">
                        <wps:wsp>
                          <wps:cNvSpPr txBox="1"/>
                          <wps:spPr>
                            <a:xfrm>
                              <a:off x="0" y="0"/>
                              <a:ext cx="7269480" cy="1171575"/>
                            </a:xfrm>
                            <a:prstGeom prst="rect">
                              <a:avLst/>
                            </a:prstGeom>
                            <a:solidFill>
                              <a:srgbClr val="593A1E"/>
                            </a:solidFill>
                            <a:ln w="6350">
                              <a:solidFill>
                                <a:prstClr val="black"/>
                              </a:solidFill>
                            </a:ln>
                          </wps:spPr>
                          <wps:txbx>
                            <w:txbxContent>
                              <w:p w14:paraId="01792CBF" w14:textId="17BF3339" w:rsidR="008174CF" w:rsidRPr="00AC6889" w:rsidRDefault="002669B8" w:rsidP="008174CF">
                                <w:pPr>
                                  <w:rPr>
                                    <w:rFonts w:ascii="Source Sans Pro" w:hAnsi="Source Sans Pro"/>
                                    <w:color w:val="FFFFFF" w:themeColor="background1"/>
                                    <w:sz w:val="44"/>
                                    <w:szCs w:val="16"/>
                                  </w:rPr>
                                </w:pPr>
                                <w:r>
                                  <w:rPr>
                                    <w:rFonts w:ascii="Source Sans Pro" w:hAnsi="Source Sans Pro"/>
                                    <w:color w:val="FFFFFF" w:themeColor="background1"/>
                                    <w:sz w:val="44"/>
                                    <w:szCs w:val="16"/>
                                  </w:rPr>
                                  <w:t xml:space="preserve">Associate Governance Professional </w:t>
                                </w:r>
                              </w:p>
                              <w:p w14:paraId="56B024AA" w14:textId="6D4FADC7" w:rsidR="008174CF" w:rsidRPr="00AC6889" w:rsidRDefault="008174CF" w:rsidP="008174CF">
                                <w:pPr>
                                  <w:rPr>
                                    <w:rFonts w:ascii="Source Sans Pro" w:hAnsi="Source Sans Pro"/>
                                    <w:color w:val="FFFFFF" w:themeColor="background1"/>
                                    <w:sz w:val="44"/>
                                    <w:szCs w:val="16"/>
                                  </w:rPr>
                                </w:pPr>
                                <w:r w:rsidRPr="00AC6889">
                                  <w:rPr>
                                    <w:rFonts w:ascii="Source Sans Pro" w:hAnsi="Source Sans Pro"/>
                                    <w:color w:val="FFFFFF" w:themeColor="background1"/>
                                    <w:sz w:val="44"/>
                                    <w:szCs w:val="16"/>
                                  </w:rPr>
                                  <w:t>Job Description and Person</w:t>
                                </w:r>
                                <w:r w:rsidR="00721008" w:rsidRPr="00AC6889">
                                  <w:rPr>
                                    <w:rFonts w:ascii="Source Sans Pro" w:hAnsi="Source Sans Pro"/>
                                    <w:color w:val="FFFFFF" w:themeColor="background1"/>
                                    <w:sz w:val="44"/>
                                    <w:szCs w:val="16"/>
                                  </w:rPr>
                                  <w:t xml:space="preserve"> </w:t>
                                </w:r>
                                <w:r w:rsidRPr="00AC6889">
                                  <w:rPr>
                                    <w:rFonts w:ascii="Source Sans Pro" w:hAnsi="Source Sans Pro"/>
                                    <w:color w:val="FFFFFF" w:themeColor="background1"/>
                                    <w:sz w:val="44"/>
                                    <w:szCs w:val="16"/>
                                  </w:rPr>
                                  <w:t xml:space="preserve">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1C27F" id="_x0000_t202" coordsize="21600,21600" o:spt="202" path="m,l,21600r21600,l21600,xe">
                    <v:stroke joinstyle="miter"/>
                    <v:path gradientshapeok="t" o:connecttype="rect"/>
                  </v:shapetype>
                  <v:shape id="Text Box 3" o:spid="_x0000_s1030" type="#_x0000_t202" style="position:absolute;margin-left:21.75pt;margin-top:123.45pt;width:572.4pt;height:9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" fillcolor="#593a1e" strokeweight=".5pt">
                    <v:textbox>
                      <w:txbxContent>
                        <w:p w14:paraId="01792CBF" w14:textId="17BF3339" w:rsidR="008174CF" w:rsidRPr="00AC6889" w:rsidRDefault="002669B8" w:rsidP="008174CF">
                          <w:pPr>
                            <w:rPr>
                              <w:rFonts w:ascii="Source Sans Pro" w:hAnsi="Source Sans Pro"/>
                              <w:color w:val="FFFFFF" w:themeColor="background1"/>
                              <w:sz w:val="44"/>
                              <w:szCs w:val="16"/>
                            </w:rPr>
                          </w:pPr>
                          <w:r>
                            <w:rPr>
                              <w:rFonts w:ascii="Source Sans Pro" w:hAnsi="Source Sans Pro"/>
                              <w:color w:val="FFFFFF" w:themeColor="background1"/>
                              <w:sz w:val="44"/>
                              <w:szCs w:val="16"/>
                            </w:rPr>
                            <w:t xml:space="preserve">Associate Governance Professional </w:t>
                          </w:r>
                        </w:p>
                        <w:p w14:paraId="56B024AA" w14:textId="6D4FADC7" w:rsidR="008174CF" w:rsidRPr="00AC6889" w:rsidRDefault="008174CF" w:rsidP="008174CF">
                          <w:pPr>
                            <w:rPr>
                              <w:rFonts w:ascii="Source Sans Pro" w:hAnsi="Source Sans Pro"/>
                              <w:color w:val="FFFFFF" w:themeColor="background1"/>
                              <w:sz w:val="44"/>
                              <w:szCs w:val="16"/>
                            </w:rPr>
                          </w:pPr>
                          <w:r w:rsidRPr="00AC6889">
                            <w:rPr>
                              <w:rFonts w:ascii="Source Sans Pro" w:hAnsi="Source Sans Pro"/>
                              <w:color w:val="FFFFFF" w:themeColor="background1"/>
                              <w:sz w:val="44"/>
                              <w:szCs w:val="16"/>
                            </w:rPr>
                            <w:t>Job Description and Person</w:t>
                          </w:r>
                          <w:r w:rsidR="00721008" w:rsidRPr="00AC6889">
                            <w:rPr>
                              <w:rFonts w:ascii="Source Sans Pro" w:hAnsi="Source Sans Pro"/>
                              <w:color w:val="FFFFFF" w:themeColor="background1"/>
                              <w:sz w:val="44"/>
                              <w:szCs w:val="16"/>
                            </w:rPr>
                            <w:t xml:space="preserve"> </w:t>
                          </w:r>
                          <w:r w:rsidRPr="00AC6889">
                            <w:rPr>
                              <w:rFonts w:ascii="Source Sans Pro" w:hAnsi="Source Sans Pro"/>
                              <w:color w:val="FFFFFF" w:themeColor="background1"/>
                              <w:sz w:val="44"/>
                              <w:szCs w:val="16"/>
                            </w:rPr>
                            <w:t xml:space="preserve">Specification </w:t>
                          </w:r>
                        </w:p>
                      </w:txbxContent>
                    </v:textbox>
                    <w10:wrap anchorx="page"/>
                  </v:shape>
                </w:pict>
              </mc:Fallback>
            </mc:AlternateContent>
          </w:r>
          <w:r w:rsidRPr="00721008">
            <w:rPr>
              <w:rFonts w:ascii="Source Sans Pro" w:hAnsi="Source Sans Pro"/>
              <w:b/>
              <w:sz w:val="22"/>
              <w:szCs w:val="22"/>
            </w:rPr>
            <w:br w:type="page"/>
          </w:r>
        </w:p>
      </w:sdtContent>
    </w:sdt>
    <w:p w14:paraId="5A568982" w14:textId="77777777" w:rsidR="00405295" w:rsidRDefault="00405295" w:rsidP="00405295">
      <w:pPr>
        <w:spacing w:after="160" w:line="259" w:lineRule="auto"/>
        <w:rPr>
          <w:rFonts w:ascii="Source Sans Pro" w:hAnsi="Source Sans Pro"/>
        </w:rPr>
      </w:pPr>
    </w:p>
    <w:p w14:paraId="55BD944F" w14:textId="44D27EC8" w:rsidR="00405295" w:rsidRDefault="00405295" w:rsidP="00405295">
      <w:pPr>
        <w:spacing w:after="160" w:line="259" w:lineRule="auto"/>
        <w:rPr>
          <w:rFonts w:ascii="Source Sans Pro" w:hAnsi="Source Sans Pro"/>
        </w:rPr>
      </w:pPr>
      <w:r w:rsidRPr="00405295">
        <w:rPr>
          <w:rFonts w:ascii="Source Sans Pro" w:hAnsi="Source Sans Pro"/>
        </w:rPr>
        <w:t>The Orchard Learning Alliance is committed to creating a diverse workforce. We will consider all qualified applicants for employment without regard to sex, race, religion, belief, sexual orientation, gender reassignment, pregnancy, maternity, age, disability, marriage or civil partnership.</w:t>
      </w:r>
    </w:p>
    <w:p w14:paraId="58773F53" w14:textId="77777777" w:rsidR="00D41C6B" w:rsidRPr="00405295" w:rsidRDefault="00D41C6B" w:rsidP="00405295">
      <w:pPr>
        <w:spacing w:after="160" w:line="259" w:lineRule="auto"/>
        <w:rPr>
          <w:rFonts w:ascii="Source Sans Pro" w:hAnsi="Source Sans Pro"/>
        </w:rPr>
      </w:pPr>
    </w:p>
    <w:p w14:paraId="33E60340" w14:textId="5FEB01EB" w:rsidR="00D41C6B" w:rsidRPr="001D50D1" w:rsidRDefault="00FB0121" w:rsidP="009F253C">
      <w:pPr>
        <w:pStyle w:val="Heading2"/>
        <w:rPr>
          <w:color w:val="028483"/>
        </w:rPr>
      </w:pPr>
      <w:r w:rsidRPr="001D50D1">
        <w:rPr>
          <w:color w:val="028483"/>
        </w:rPr>
        <w:t xml:space="preserve">Job details </w:t>
      </w:r>
    </w:p>
    <w:p w14:paraId="5184A1BC" w14:textId="77777777" w:rsidR="00405295" w:rsidRDefault="00405295" w:rsidP="00405295">
      <w:pPr>
        <w:rPr>
          <w:rFonts w:ascii="Source Sans Pro" w:hAnsi="Source Sans Pro"/>
          <w:b/>
          <w:bCs/>
        </w:rPr>
      </w:pPr>
      <w:r w:rsidRPr="00405295">
        <w:rPr>
          <w:rFonts w:ascii="Source Sans Pro" w:hAnsi="Source Sans Pro"/>
          <w:b/>
          <w:bCs/>
        </w:rPr>
        <w:t>Associate Governance Professional</w:t>
      </w:r>
    </w:p>
    <w:p w14:paraId="1051941F" w14:textId="77777777" w:rsidR="00D41C6B" w:rsidRPr="00405295" w:rsidRDefault="00D41C6B" w:rsidP="00405295">
      <w:pPr>
        <w:rPr>
          <w:rFonts w:ascii="Source Sans Pro" w:hAnsi="Source Sans Pro"/>
          <w:b/>
          <w:bCs/>
        </w:rPr>
      </w:pPr>
    </w:p>
    <w:p w14:paraId="683D8D79" w14:textId="77777777" w:rsidR="00405295" w:rsidRDefault="00405295" w:rsidP="00405295">
      <w:pPr>
        <w:rPr>
          <w:rFonts w:ascii="Source Sans Pro" w:hAnsi="Source Sans Pro"/>
        </w:rPr>
      </w:pPr>
      <w:r w:rsidRPr="00405295">
        <w:rPr>
          <w:rFonts w:ascii="Source Sans Pro" w:hAnsi="Source Sans Pro"/>
        </w:rPr>
        <w:t xml:space="preserve">Salary Range: NJC Pay Scale Grade 6 (£31,537 SCP18 - £35,412 SCP24 FTE) (pay award pending) depending on experience. </w:t>
      </w:r>
    </w:p>
    <w:p w14:paraId="7B80BD30" w14:textId="77777777" w:rsidR="00D41C6B" w:rsidRPr="00405295" w:rsidRDefault="00D41C6B" w:rsidP="00405295">
      <w:pPr>
        <w:rPr>
          <w:rFonts w:ascii="Source Sans Pro" w:hAnsi="Source Sans Pro"/>
        </w:rPr>
      </w:pPr>
    </w:p>
    <w:p w14:paraId="1C69558B" w14:textId="77777777" w:rsidR="00405295" w:rsidRDefault="00405295" w:rsidP="00405295">
      <w:pPr>
        <w:rPr>
          <w:rFonts w:ascii="Source Sans Pro" w:hAnsi="Source Sans Pro"/>
        </w:rPr>
      </w:pPr>
      <w:r w:rsidRPr="00405295">
        <w:rPr>
          <w:rFonts w:ascii="Source Sans Pro" w:hAnsi="Source Sans Pro"/>
        </w:rPr>
        <w:t xml:space="preserve">Working Hours: 37 per week, term time (190 days per year) plus 10 days.  Part time applicants may be considered – please specify your preferred hours on your application form. </w:t>
      </w:r>
    </w:p>
    <w:p w14:paraId="77E2D15F" w14:textId="77777777" w:rsidR="00D41C6B" w:rsidRPr="00405295" w:rsidRDefault="00D41C6B" w:rsidP="00405295">
      <w:pPr>
        <w:rPr>
          <w:rFonts w:ascii="Source Sans Pro" w:hAnsi="Source Sans Pro"/>
        </w:rPr>
      </w:pPr>
    </w:p>
    <w:p w14:paraId="10036F45" w14:textId="77777777" w:rsidR="00405295" w:rsidRDefault="00405295" w:rsidP="00405295">
      <w:pPr>
        <w:rPr>
          <w:rFonts w:ascii="Source Sans Pro" w:hAnsi="Source Sans Pro"/>
        </w:rPr>
      </w:pPr>
      <w:r w:rsidRPr="00405295">
        <w:rPr>
          <w:rFonts w:ascii="Source Sans Pro" w:hAnsi="Source Sans Pro"/>
        </w:rPr>
        <w:t>This is a flexible role which requires evening work and actual weekly hours may vary depending on weekly requirements.  The role is based at the OLA head office and will involve travel to OLA schools, as well as the option to work from home.</w:t>
      </w:r>
    </w:p>
    <w:p w14:paraId="081DABE7" w14:textId="77777777" w:rsidR="00D41C6B" w:rsidRPr="00405295" w:rsidRDefault="00D41C6B" w:rsidP="00405295">
      <w:pPr>
        <w:rPr>
          <w:rFonts w:ascii="Source Sans Pro" w:hAnsi="Source Sans Pro"/>
        </w:rPr>
      </w:pPr>
    </w:p>
    <w:p w14:paraId="6ED05F43" w14:textId="77777777" w:rsidR="00405295" w:rsidRDefault="00405295" w:rsidP="00405295">
      <w:pPr>
        <w:rPr>
          <w:rFonts w:ascii="Source Sans Pro" w:hAnsi="Source Sans Pro"/>
        </w:rPr>
      </w:pPr>
      <w:r w:rsidRPr="00405295">
        <w:rPr>
          <w:rFonts w:ascii="Source Sans Pro" w:hAnsi="Source Sans Pro"/>
        </w:rPr>
        <w:t xml:space="preserve">Contract type: Full time or part time, permanent. </w:t>
      </w:r>
    </w:p>
    <w:p w14:paraId="04A87406" w14:textId="77777777" w:rsidR="00D41C6B" w:rsidRPr="00405295" w:rsidRDefault="00D41C6B" w:rsidP="00405295">
      <w:pPr>
        <w:rPr>
          <w:rFonts w:ascii="Source Sans Pro" w:hAnsi="Source Sans Pro"/>
        </w:rPr>
      </w:pPr>
    </w:p>
    <w:p w14:paraId="4AE38C31" w14:textId="77777777" w:rsidR="00405295" w:rsidRDefault="00405295" w:rsidP="00405295">
      <w:pPr>
        <w:rPr>
          <w:rFonts w:ascii="Source Sans Pro" w:hAnsi="Source Sans Pro"/>
        </w:rPr>
      </w:pPr>
      <w:r w:rsidRPr="00405295">
        <w:rPr>
          <w:rFonts w:ascii="Source Sans Pro" w:hAnsi="Source Sans Pro"/>
        </w:rPr>
        <w:t>Reporting to: Governance Professional, Central Team.</w:t>
      </w:r>
    </w:p>
    <w:p w14:paraId="2CB39AE5" w14:textId="77777777" w:rsidR="009F253C" w:rsidRPr="00405295" w:rsidRDefault="009F253C" w:rsidP="00405295">
      <w:pPr>
        <w:rPr>
          <w:rFonts w:ascii="Source Sans Pro" w:hAnsi="Source Sans Pro"/>
        </w:rPr>
      </w:pPr>
    </w:p>
    <w:p w14:paraId="5C3E8B7A" w14:textId="6BE79D54" w:rsidR="00D41C6B" w:rsidRPr="001D50D1" w:rsidRDefault="00405295" w:rsidP="009F253C">
      <w:pPr>
        <w:pStyle w:val="Heading2"/>
        <w:rPr>
          <w:color w:val="028483"/>
        </w:rPr>
      </w:pPr>
      <w:r w:rsidRPr="001D50D1">
        <w:rPr>
          <w:rFonts w:ascii="Source Sans Pro" w:hAnsi="Source Sans Pro"/>
          <w:color w:val="028483"/>
        </w:rPr>
        <w:t xml:space="preserve">Main purpose </w:t>
      </w:r>
    </w:p>
    <w:p w14:paraId="32C2BBDA" w14:textId="77777777" w:rsidR="00405295" w:rsidRPr="00405295" w:rsidRDefault="00405295" w:rsidP="00405295">
      <w:pPr>
        <w:rPr>
          <w:rFonts w:ascii="Source Sans Pro" w:hAnsi="Source Sans Pro"/>
        </w:rPr>
      </w:pPr>
      <w:r w:rsidRPr="00405295">
        <w:rPr>
          <w:rFonts w:ascii="Source Sans Pro" w:hAnsi="Source Sans Pro"/>
        </w:rPr>
        <w:t>To deliver a robust governance and clerking service to the Trust, championing good governance, achieving compliance, and meeting statutory and regulatory requirements through the effective use of the Trust’s governance platform.  To coordinate the management of Trust and school policies and procedures, and, working closely with the Governance Professional, to develop, design, improve and streamline governance across the Trust including frameworks, templates and resources.</w:t>
      </w:r>
    </w:p>
    <w:p w14:paraId="73AD5D8E" w14:textId="77777777" w:rsidR="00405295" w:rsidRPr="00405295" w:rsidRDefault="00405295" w:rsidP="00405295">
      <w:pPr>
        <w:rPr>
          <w:rFonts w:ascii="Source Sans Pro" w:hAnsi="Source Sans Pro"/>
        </w:rPr>
      </w:pPr>
    </w:p>
    <w:p w14:paraId="6292FA4A" w14:textId="3723C760" w:rsidR="00D41C6B" w:rsidRPr="00D41C6B" w:rsidRDefault="00405295" w:rsidP="009F253C">
      <w:pPr>
        <w:pStyle w:val="Heading2"/>
      </w:pPr>
      <w:r w:rsidRPr="00180EA8">
        <w:rPr>
          <w:rFonts w:ascii="Source Sans Pro" w:hAnsi="Source Sans Pro"/>
          <w:color w:val="028483"/>
        </w:rPr>
        <w:t>Key Duties and Responsibilities</w:t>
      </w:r>
    </w:p>
    <w:tbl>
      <w:tblPr>
        <w:tblStyle w:val="TableGrid"/>
        <w:tblW w:w="10201" w:type="dxa"/>
        <w:tblCellMar>
          <w:top w:w="28" w:type="dxa"/>
          <w:bottom w:w="28" w:type="dxa"/>
        </w:tblCellMar>
        <w:tblLook w:val="04A0" w:firstRow="1" w:lastRow="0" w:firstColumn="1" w:lastColumn="0" w:noHBand="0" w:noVBand="1"/>
      </w:tblPr>
      <w:tblGrid>
        <w:gridCol w:w="1923"/>
        <w:gridCol w:w="455"/>
        <w:gridCol w:w="7122"/>
        <w:gridCol w:w="701"/>
      </w:tblGrid>
      <w:tr w:rsidR="00405295" w:rsidRPr="00405295" w14:paraId="4D3A4AB0" w14:textId="77777777" w:rsidTr="00AC0D49">
        <w:tc>
          <w:tcPr>
            <w:tcW w:w="10201" w:type="dxa"/>
            <w:gridSpan w:val="4"/>
          </w:tcPr>
          <w:p w14:paraId="3CE235E4" w14:textId="77777777" w:rsidR="00405295" w:rsidRPr="00405295" w:rsidRDefault="00405295" w:rsidP="00AC0D49">
            <w:pPr>
              <w:spacing w:before="240" w:after="240"/>
              <w:rPr>
                <w:rFonts w:ascii="Source Sans Pro" w:hAnsi="Source Sans Pro"/>
                <w:b/>
                <w:bCs/>
                <w:sz w:val="28"/>
                <w:szCs w:val="28"/>
              </w:rPr>
            </w:pPr>
            <w:r w:rsidRPr="00405295">
              <w:rPr>
                <w:rFonts w:ascii="Source Sans Pro" w:hAnsi="Source Sans Pro"/>
                <w:b/>
                <w:bCs/>
                <w:sz w:val="28"/>
                <w:szCs w:val="28"/>
              </w:rPr>
              <w:t>Post:  Associate Governance Professional</w:t>
            </w:r>
          </w:p>
        </w:tc>
      </w:tr>
      <w:tr w:rsidR="00405295" w:rsidRPr="00405295" w14:paraId="5F758B0B" w14:textId="77777777" w:rsidTr="00A12228">
        <w:tc>
          <w:tcPr>
            <w:tcW w:w="1923" w:type="dxa"/>
            <w:vMerge w:val="restart"/>
          </w:tcPr>
          <w:p w14:paraId="50501A21" w14:textId="77777777" w:rsidR="00405295" w:rsidRPr="00405295" w:rsidRDefault="00405295" w:rsidP="00AC0D49">
            <w:pPr>
              <w:rPr>
                <w:rFonts w:ascii="Source Sans Pro" w:hAnsi="Source Sans Pro"/>
                <w:b/>
                <w:bCs/>
              </w:rPr>
            </w:pPr>
            <w:r w:rsidRPr="00405295">
              <w:rPr>
                <w:rFonts w:ascii="Source Sans Pro" w:hAnsi="Source Sans Pro"/>
                <w:b/>
                <w:bCs/>
              </w:rPr>
              <w:t>Purpose of the job:</w:t>
            </w:r>
          </w:p>
        </w:tc>
        <w:tc>
          <w:tcPr>
            <w:tcW w:w="455" w:type="dxa"/>
          </w:tcPr>
          <w:p w14:paraId="2C0735D0" w14:textId="77777777" w:rsidR="00405295" w:rsidRPr="00405295" w:rsidRDefault="00405295" w:rsidP="00AC0D49">
            <w:pPr>
              <w:rPr>
                <w:rFonts w:ascii="Source Sans Pro" w:hAnsi="Source Sans Pro"/>
              </w:rPr>
            </w:pPr>
            <w:r w:rsidRPr="00405295">
              <w:rPr>
                <w:rFonts w:ascii="Source Sans Pro" w:hAnsi="Source Sans Pro"/>
              </w:rPr>
              <w:t>1</w:t>
            </w:r>
          </w:p>
        </w:tc>
        <w:tc>
          <w:tcPr>
            <w:tcW w:w="7122" w:type="dxa"/>
          </w:tcPr>
          <w:p w14:paraId="2BA82D87" w14:textId="77777777" w:rsidR="00405295" w:rsidRPr="00405295" w:rsidRDefault="00405295" w:rsidP="00AC0D49">
            <w:pPr>
              <w:rPr>
                <w:rFonts w:ascii="Source Sans Pro" w:hAnsi="Source Sans Pro"/>
                <w:b/>
                <w:bCs/>
              </w:rPr>
            </w:pPr>
            <w:r w:rsidRPr="00405295">
              <w:rPr>
                <w:rFonts w:ascii="Source Sans Pro" w:hAnsi="Source Sans Pro"/>
              </w:rPr>
              <w:t>The postholder will report to the Governance Professional and deliver a robust governance and clerking service to the Trust, championing good governance, achieving compliance, and meeting statutory and regulatory requirements through the effective use of the Trust’s governance platform.</w:t>
            </w:r>
          </w:p>
        </w:tc>
        <w:tc>
          <w:tcPr>
            <w:tcW w:w="701" w:type="dxa"/>
            <w:vAlign w:val="center"/>
          </w:tcPr>
          <w:p w14:paraId="6DE75A06" w14:textId="72FAE867" w:rsidR="00405295" w:rsidRPr="00405295" w:rsidRDefault="00A12228" w:rsidP="00AC0D49">
            <w:pPr>
              <w:jc w:val="center"/>
              <w:rPr>
                <w:rFonts w:ascii="Source Sans Pro" w:hAnsi="Source Sans Pro"/>
                <w:sz w:val="32"/>
                <w:szCs w:val="32"/>
              </w:rPr>
            </w:pPr>
            <w:r>
              <w:rPr>
                <w:rFonts w:ascii="Source Sans Pro" w:hAnsi="Source Sans Pro"/>
                <w:sz w:val="32"/>
                <w:szCs w:val="32"/>
              </w:rPr>
              <w:sym w:font="Wingdings 2" w:char="F050"/>
            </w:r>
          </w:p>
        </w:tc>
      </w:tr>
      <w:tr w:rsidR="00A12228" w:rsidRPr="00405295" w14:paraId="3D4451C1" w14:textId="77777777" w:rsidTr="00A12228">
        <w:tc>
          <w:tcPr>
            <w:tcW w:w="1923" w:type="dxa"/>
            <w:vMerge/>
          </w:tcPr>
          <w:p w14:paraId="3B64105E" w14:textId="77777777" w:rsidR="00A12228" w:rsidRPr="00405295" w:rsidRDefault="00A12228" w:rsidP="00A12228">
            <w:pPr>
              <w:rPr>
                <w:rFonts w:ascii="Source Sans Pro" w:hAnsi="Source Sans Pro"/>
                <w:b/>
                <w:bCs/>
              </w:rPr>
            </w:pPr>
          </w:p>
        </w:tc>
        <w:tc>
          <w:tcPr>
            <w:tcW w:w="455" w:type="dxa"/>
          </w:tcPr>
          <w:p w14:paraId="08D4CB28" w14:textId="77777777" w:rsidR="00A12228" w:rsidRPr="00405295" w:rsidRDefault="00A12228" w:rsidP="00A12228">
            <w:pPr>
              <w:rPr>
                <w:rFonts w:ascii="Source Sans Pro" w:hAnsi="Source Sans Pro"/>
              </w:rPr>
            </w:pPr>
            <w:r w:rsidRPr="00405295">
              <w:rPr>
                <w:rFonts w:ascii="Source Sans Pro" w:hAnsi="Source Sans Pro"/>
              </w:rPr>
              <w:t>2</w:t>
            </w:r>
          </w:p>
        </w:tc>
        <w:tc>
          <w:tcPr>
            <w:tcW w:w="7122" w:type="dxa"/>
          </w:tcPr>
          <w:p w14:paraId="66826B4F" w14:textId="77777777" w:rsidR="00A12228" w:rsidRPr="00405295" w:rsidRDefault="00A12228" w:rsidP="00A12228">
            <w:pPr>
              <w:rPr>
                <w:rFonts w:ascii="Source Sans Pro" w:hAnsi="Source Sans Pro"/>
                <w:b/>
                <w:bCs/>
              </w:rPr>
            </w:pPr>
            <w:r w:rsidRPr="00405295">
              <w:rPr>
                <w:rFonts w:ascii="Source Sans Pro" w:hAnsi="Source Sans Pro"/>
              </w:rPr>
              <w:t>Coordinate the management of Trust and school policies and procedures, and, working closely with the Governance Professional, to develop, design, improve and streamline governance across the Trust.</w:t>
            </w:r>
          </w:p>
        </w:tc>
        <w:tc>
          <w:tcPr>
            <w:tcW w:w="701" w:type="dxa"/>
          </w:tcPr>
          <w:p w14:paraId="345BB53A" w14:textId="0DDA6831"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0F94F69A" w14:textId="77777777" w:rsidTr="00A12228">
        <w:tc>
          <w:tcPr>
            <w:tcW w:w="1923" w:type="dxa"/>
            <w:vMerge w:val="restart"/>
          </w:tcPr>
          <w:p w14:paraId="0101313C" w14:textId="77777777" w:rsidR="00A12228" w:rsidRPr="00405295" w:rsidRDefault="00A12228" w:rsidP="00A12228">
            <w:pPr>
              <w:tabs>
                <w:tab w:val="left" w:pos="3450"/>
                <w:tab w:val="left" w:pos="3495"/>
              </w:tabs>
              <w:jc w:val="both"/>
              <w:rPr>
                <w:rFonts w:ascii="Source Sans Pro" w:hAnsi="Source Sans Pro"/>
                <w:b/>
                <w:bCs/>
              </w:rPr>
            </w:pPr>
            <w:r w:rsidRPr="00405295">
              <w:rPr>
                <w:rFonts w:ascii="Source Sans Pro" w:hAnsi="Source Sans Pro"/>
                <w:b/>
                <w:bCs/>
              </w:rPr>
              <w:t>Key responsibilities:</w:t>
            </w:r>
          </w:p>
        </w:tc>
        <w:tc>
          <w:tcPr>
            <w:tcW w:w="455" w:type="dxa"/>
          </w:tcPr>
          <w:p w14:paraId="25CA6F4A" w14:textId="77777777" w:rsidR="00A12228" w:rsidRPr="00405295" w:rsidRDefault="00A12228" w:rsidP="00A12228">
            <w:pPr>
              <w:rPr>
                <w:rFonts w:ascii="Source Sans Pro" w:hAnsi="Source Sans Pro"/>
                <w:bCs/>
              </w:rPr>
            </w:pPr>
            <w:r w:rsidRPr="00405295">
              <w:rPr>
                <w:rFonts w:ascii="Source Sans Pro" w:hAnsi="Source Sans Pro"/>
                <w:bCs/>
              </w:rPr>
              <w:t>3</w:t>
            </w:r>
          </w:p>
        </w:tc>
        <w:tc>
          <w:tcPr>
            <w:tcW w:w="7122" w:type="dxa"/>
          </w:tcPr>
          <w:p w14:paraId="621C2EF7" w14:textId="77777777" w:rsidR="00A12228" w:rsidRPr="00405295" w:rsidRDefault="00A12228" w:rsidP="00A12228">
            <w:pPr>
              <w:rPr>
                <w:rFonts w:ascii="Source Sans Pro" w:hAnsi="Source Sans Pro"/>
                <w:bCs/>
              </w:rPr>
            </w:pPr>
            <w:r w:rsidRPr="00405295">
              <w:rPr>
                <w:rFonts w:ascii="Source Sans Pro" w:hAnsi="Source Sans Pro"/>
                <w:bCs/>
              </w:rPr>
              <w:t>Build professional relationships with leadership and stakeholders including Chairs and Headteachers, acting as the first point of contact for advice on procedural matters, ensuring that the multi-academy trust complies with all relevant statutory and regulatory requirements related to governance.</w:t>
            </w:r>
          </w:p>
        </w:tc>
        <w:tc>
          <w:tcPr>
            <w:tcW w:w="701" w:type="dxa"/>
          </w:tcPr>
          <w:p w14:paraId="6E42B133" w14:textId="0EDBC63E" w:rsidR="00A12228" w:rsidRPr="00405295" w:rsidRDefault="00A12228" w:rsidP="00A12228">
            <w:pPr>
              <w:jc w:val="center"/>
              <w:rPr>
                <w:rFonts w:ascii="Source Sans Pro" w:eastAsia="Wingdings" w:hAnsi="Source Sans Pro" w:cs="Wingdings"/>
                <w:sz w:val="32"/>
                <w:szCs w:val="32"/>
              </w:rPr>
            </w:pPr>
            <w:r w:rsidRPr="00ED34E6">
              <w:rPr>
                <w:rFonts w:ascii="Source Sans Pro" w:hAnsi="Source Sans Pro"/>
                <w:sz w:val="32"/>
                <w:szCs w:val="32"/>
              </w:rPr>
              <w:sym w:font="Wingdings 2" w:char="F050"/>
            </w:r>
          </w:p>
        </w:tc>
      </w:tr>
      <w:tr w:rsidR="00A12228" w:rsidRPr="00405295" w14:paraId="55D6100B" w14:textId="77777777" w:rsidTr="00A12228">
        <w:tc>
          <w:tcPr>
            <w:tcW w:w="1923" w:type="dxa"/>
            <w:vMerge/>
          </w:tcPr>
          <w:p w14:paraId="60C53C33"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09A34A98" w14:textId="77777777" w:rsidR="00A12228" w:rsidRPr="00405295" w:rsidRDefault="00A12228" w:rsidP="00A12228">
            <w:pPr>
              <w:rPr>
                <w:rFonts w:ascii="Source Sans Pro" w:hAnsi="Source Sans Pro"/>
                <w:bCs/>
              </w:rPr>
            </w:pPr>
            <w:r w:rsidRPr="00405295">
              <w:rPr>
                <w:rFonts w:ascii="Source Sans Pro" w:hAnsi="Source Sans Pro"/>
                <w:bCs/>
              </w:rPr>
              <w:t>4</w:t>
            </w:r>
          </w:p>
        </w:tc>
        <w:tc>
          <w:tcPr>
            <w:tcW w:w="7122" w:type="dxa"/>
          </w:tcPr>
          <w:p w14:paraId="5871696E" w14:textId="77777777" w:rsidR="00A12228" w:rsidRPr="00405295" w:rsidRDefault="00A12228" w:rsidP="00A12228">
            <w:pPr>
              <w:rPr>
                <w:rFonts w:ascii="Source Sans Pro" w:hAnsi="Source Sans Pro"/>
                <w:bCs/>
              </w:rPr>
            </w:pPr>
            <w:r w:rsidRPr="00405295">
              <w:rPr>
                <w:rFonts w:ascii="Source Sans Pro" w:hAnsi="Source Sans Pro"/>
                <w:bCs/>
              </w:rPr>
              <w:t>Support legitimate meetings and decisions by ensuring a thorough knowledge of the Orchard Learning Alliance’s scheme of delegation and terms of reference, as well as relevant legislation and guidance, applicable to all meetings clerked.</w:t>
            </w:r>
          </w:p>
        </w:tc>
        <w:tc>
          <w:tcPr>
            <w:tcW w:w="701" w:type="dxa"/>
          </w:tcPr>
          <w:p w14:paraId="11E6945B" w14:textId="2050F2F8" w:rsidR="00A12228" w:rsidRPr="00405295" w:rsidRDefault="00A12228" w:rsidP="00A12228">
            <w:pPr>
              <w:jc w:val="center"/>
              <w:rPr>
                <w:rFonts w:ascii="Source Sans Pro" w:eastAsia="Wingdings" w:hAnsi="Source Sans Pro" w:cs="Wingdings"/>
                <w:sz w:val="32"/>
                <w:szCs w:val="32"/>
              </w:rPr>
            </w:pPr>
            <w:r w:rsidRPr="00ED34E6">
              <w:rPr>
                <w:rFonts w:ascii="Source Sans Pro" w:hAnsi="Source Sans Pro"/>
                <w:sz w:val="32"/>
                <w:szCs w:val="32"/>
              </w:rPr>
              <w:sym w:font="Wingdings 2" w:char="F050"/>
            </w:r>
          </w:p>
        </w:tc>
      </w:tr>
      <w:tr w:rsidR="00A12228" w:rsidRPr="00405295" w14:paraId="4A408AEF" w14:textId="77777777" w:rsidTr="00A12228">
        <w:tc>
          <w:tcPr>
            <w:tcW w:w="1923" w:type="dxa"/>
            <w:vMerge/>
          </w:tcPr>
          <w:p w14:paraId="10325D8D"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773B9EBF" w14:textId="77777777" w:rsidR="00A12228" w:rsidRPr="00405295" w:rsidRDefault="00A12228" w:rsidP="00A12228">
            <w:pPr>
              <w:rPr>
                <w:rFonts w:ascii="Source Sans Pro" w:hAnsi="Source Sans Pro"/>
                <w:bCs/>
              </w:rPr>
            </w:pPr>
            <w:r w:rsidRPr="00405295">
              <w:rPr>
                <w:rFonts w:ascii="Source Sans Pro" w:hAnsi="Source Sans Pro"/>
                <w:bCs/>
              </w:rPr>
              <w:t>5</w:t>
            </w:r>
          </w:p>
        </w:tc>
        <w:tc>
          <w:tcPr>
            <w:tcW w:w="7122" w:type="dxa"/>
          </w:tcPr>
          <w:p w14:paraId="4545EBE3" w14:textId="77777777" w:rsidR="00A12228" w:rsidRPr="00405295" w:rsidRDefault="00A12228" w:rsidP="00A12228">
            <w:pPr>
              <w:rPr>
                <w:rFonts w:ascii="Source Sans Pro" w:hAnsi="Source Sans Pro"/>
                <w:bCs/>
              </w:rPr>
            </w:pPr>
            <w:r w:rsidRPr="00405295">
              <w:rPr>
                <w:rFonts w:ascii="Source Sans Pro" w:hAnsi="Source Sans Pro"/>
                <w:bCs/>
              </w:rPr>
              <w:t>Maintain a thorough knowledge and understanding of the laws that affect multi-academy trust academies and local authority-maintained schools, monitoring changes in relevant legislation and the regulatory environment and advising governors of the legal and governance implications.</w:t>
            </w:r>
          </w:p>
        </w:tc>
        <w:tc>
          <w:tcPr>
            <w:tcW w:w="701" w:type="dxa"/>
          </w:tcPr>
          <w:p w14:paraId="26774FE3" w14:textId="5C85E1A5" w:rsidR="00A12228" w:rsidRPr="00405295" w:rsidRDefault="00A12228" w:rsidP="00A12228">
            <w:pPr>
              <w:jc w:val="center"/>
              <w:rPr>
                <w:rFonts w:ascii="Source Sans Pro" w:eastAsia="Wingdings" w:hAnsi="Source Sans Pro" w:cs="Wingdings"/>
                <w:sz w:val="32"/>
                <w:szCs w:val="32"/>
              </w:rPr>
            </w:pPr>
            <w:r w:rsidRPr="00ED34E6">
              <w:rPr>
                <w:rFonts w:ascii="Source Sans Pro" w:hAnsi="Source Sans Pro"/>
                <w:sz w:val="32"/>
                <w:szCs w:val="32"/>
              </w:rPr>
              <w:sym w:font="Wingdings 2" w:char="F050"/>
            </w:r>
          </w:p>
        </w:tc>
      </w:tr>
      <w:tr w:rsidR="00A12228" w:rsidRPr="00405295" w14:paraId="0CE78B2C" w14:textId="77777777" w:rsidTr="00A12228">
        <w:tc>
          <w:tcPr>
            <w:tcW w:w="1923" w:type="dxa"/>
            <w:vMerge/>
          </w:tcPr>
          <w:p w14:paraId="291EDA01"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1F9E1069" w14:textId="77777777" w:rsidR="00A12228" w:rsidRPr="00405295" w:rsidRDefault="00A12228" w:rsidP="00A12228">
            <w:pPr>
              <w:rPr>
                <w:rFonts w:ascii="Source Sans Pro" w:hAnsi="Source Sans Pro"/>
                <w:bCs/>
              </w:rPr>
            </w:pPr>
            <w:r w:rsidRPr="00405295">
              <w:rPr>
                <w:rFonts w:ascii="Source Sans Pro" w:hAnsi="Source Sans Pro"/>
                <w:bCs/>
              </w:rPr>
              <w:t>6</w:t>
            </w:r>
          </w:p>
        </w:tc>
        <w:tc>
          <w:tcPr>
            <w:tcW w:w="7122" w:type="dxa"/>
          </w:tcPr>
          <w:p w14:paraId="0DE860E4" w14:textId="77777777" w:rsidR="00A12228" w:rsidRPr="00405295" w:rsidRDefault="00A12228" w:rsidP="00A12228">
            <w:pPr>
              <w:rPr>
                <w:rFonts w:ascii="Source Sans Pro" w:hAnsi="Source Sans Pro"/>
                <w:b/>
                <w:bCs/>
              </w:rPr>
            </w:pPr>
            <w:r w:rsidRPr="00405295">
              <w:rPr>
                <w:rFonts w:ascii="Source Sans Pro" w:hAnsi="Source Sans Pro"/>
                <w:bCs/>
              </w:rPr>
              <w:t>Provision of a full clerking support service to the Trust schools’ Local Governing Bodies and Committees. To include timely preparation and circulation of agendas as per the Trust’s agenda plan, collation and circulation of supporting papers within appropriate timescale and dealing with correspondence arising from meetings.</w:t>
            </w:r>
          </w:p>
        </w:tc>
        <w:tc>
          <w:tcPr>
            <w:tcW w:w="701" w:type="dxa"/>
          </w:tcPr>
          <w:p w14:paraId="26D9CF04" w14:textId="172E50B5"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1F4F6062" w14:textId="77777777" w:rsidTr="00A12228">
        <w:tc>
          <w:tcPr>
            <w:tcW w:w="1923" w:type="dxa"/>
            <w:vMerge/>
          </w:tcPr>
          <w:p w14:paraId="29D2CBBC"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16DEC058"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7</w:t>
            </w:r>
          </w:p>
        </w:tc>
        <w:tc>
          <w:tcPr>
            <w:tcW w:w="7122" w:type="dxa"/>
          </w:tcPr>
          <w:p w14:paraId="7A85A9A9"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Attend meetings and produce draft minutes for approval by the Chair within ten working days of each meeting (including panels).</w:t>
            </w:r>
          </w:p>
        </w:tc>
        <w:tc>
          <w:tcPr>
            <w:tcW w:w="701" w:type="dxa"/>
          </w:tcPr>
          <w:p w14:paraId="74CAB359" w14:textId="66DAFA75"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4472EEA7" w14:textId="77777777" w:rsidTr="00A12228">
        <w:tc>
          <w:tcPr>
            <w:tcW w:w="1923" w:type="dxa"/>
            <w:vMerge/>
          </w:tcPr>
          <w:p w14:paraId="43315D9A"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57E0BA28"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8</w:t>
            </w:r>
          </w:p>
        </w:tc>
        <w:tc>
          <w:tcPr>
            <w:tcW w:w="7122" w:type="dxa"/>
          </w:tcPr>
          <w:p w14:paraId="635268DF"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Monitor governor attendance at meetings, identifying any governors who fail to meet attendance requirements and alerting the Local Governing Body Chair.</w:t>
            </w:r>
          </w:p>
        </w:tc>
        <w:tc>
          <w:tcPr>
            <w:tcW w:w="701" w:type="dxa"/>
          </w:tcPr>
          <w:p w14:paraId="6B8E12C5" w14:textId="79C73803"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7E6D8D1A" w14:textId="77777777" w:rsidTr="00A12228">
        <w:tc>
          <w:tcPr>
            <w:tcW w:w="1923" w:type="dxa"/>
            <w:vMerge/>
          </w:tcPr>
          <w:p w14:paraId="083A437B"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3E3B6BBF"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9</w:t>
            </w:r>
          </w:p>
        </w:tc>
        <w:tc>
          <w:tcPr>
            <w:tcW w:w="7122" w:type="dxa"/>
          </w:tcPr>
          <w:p w14:paraId="08A162B8"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Advise the Local Governing Body and Governance Professional of governor terms of office nearing completion and assist in succession planning (recruitment/ election of new governors and induction of new governors).</w:t>
            </w:r>
          </w:p>
        </w:tc>
        <w:tc>
          <w:tcPr>
            <w:tcW w:w="701" w:type="dxa"/>
          </w:tcPr>
          <w:p w14:paraId="3254E8A3" w14:textId="6ABCBF4D"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4CF8E166" w14:textId="77777777" w:rsidTr="00A12228">
        <w:tc>
          <w:tcPr>
            <w:tcW w:w="1923" w:type="dxa"/>
            <w:vMerge/>
          </w:tcPr>
          <w:p w14:paraId="4BCB211F"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4AC273B5"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11</w:t>
            </w:r>
          </w:p>
        </w:tc>
        <w:tc>
          <w:tcPr>
            <w:tcW w:w="7122" w:type="dxa"/>
          </w:tcPr>
          <w:p w14:paraId="20DDD19B"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Prepare, clerk, and produce minutes for additional governance panels, e.g. complaints, grievances, suspensions, and permanent exclusions.</w:t>
            </w:r>
          </w:p>
        </w:tc>
        <w:tc>
          <w:tcPr>
            <w:tcW w:w="701" w:type="dxa"/>
          </w:tcPr>
          <w:p w14:paraId="78BEDB88" w14:textId="6603E2AF"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30E8AFB8" w14:textId="77777777" w:rsidTr="00A12228">
        <w:tc>
          <w:tcPr>
            <w:tcW w:w="1923" w:type="dxa"/>
            <w:vMerge/>
          </w:tcPr>
          <w:p w14:paraId="02EBDC9A"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2D7AAB8E"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13</w:t>
            </w:r>
          </w:p>
        </w:tc>
        <w:tc>
          <w:tcPr>
            <w:tcW w:w="7122" w:type="dxa"/>
          </w:tcPr>
          <w:p w14:paraId="5614357D"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Liaise with Local Governing Body members between meetings.</w:t>
            </w:r>
          </w:p>
        </w:tc>
        <w:tc>
          <w:tcPr>
            <w:tcW w:w="701" w:type="dxa"/>
          </w:tcPr>
          <w:p w14:paraId="6054D127" w14:textId="3E1C3B20"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1FECE9FF" w14:textId="77777777" w:rsidTr="00A12228">
        <w:tc>
          <w:tcPr>
            <w:tcW w:w="1923" w:type="dxa"/>
            <w:vMerge/>
          </w:tcPr>
          <w:p w14:paraId="69A9E48E"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35B21D10"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14</w:t>
            </w:r>
          </w:p>
        </w:tc>
        <w:tc>
          <w:tcPr>
            <w:tcW w:w="7122" w:type="dxa"/>
          </w:tcPr>
          <w:p w14:paraId="0D11C3DC"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Uphold and provide advice and guidance on academy regulations and internal governance frameworks such as policies, codes of practice, Scheme of Delegation and Terms of Reference adopted by the Trust and its Local Governing Bodies.</w:t>
            </w:r>
          </w:p>
        </w:tc>
        <w:tc>
          <w:tcPr>
            <w:tcW w:w="701" w:type="dxa"/>
          </w:tcPr>
          <w:p w14:paraId="7D93889D" w14:textId="5C151583"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3E86C865" w14:textId="77777777" w:rsidTr="00A12228">
        <w:tc>
          <w:tcPr>
            <w:tcW w:w="1923" w:type="dxa"/>
            <w:vMerge/>
          </w:tcPr>
          <w:p w14:paraId="5ED991F5"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5BC1584B"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15</w:t>
            </w:r>
          </w:p>
        </w:tc>
        <w:tc>
          <w:tcPr>
            <w:tcW w:w="7122" w:type="dxa"/>
          </w:tcPr>
          <w:p w14:paraId="23650B7E"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 xml:space="preserve">Maintain up-to-date and accurate governance registers and records, e.g. registers of pecuniary interests, gifts and hospitality, expenses, meetings, minutes, actions, decisions, terms of office, etc. </w:t>
            </w:r>
          </w:p>
        </w:tc>
        <w:tc>
          <w:tcPr>
            <w:tcW w:w="701" w:type="dxa"/>
          </w:tcPr>
          <w:p w14:paraId="767696DE" w14:textId="2FE72918"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75957F23" w14:textId="77777777" w:rsidTr="00A12228">
        <w:tc>
          <w:tcPr>
            <w:tcW w:w="1923" w:type="dxa"/>
            <w:vMerge/>
          </w:tcPr>
          <w:p w14:paraId="53C2AD5F"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6E81F7D1"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16</w:t>
            </w:r>
          </w:p>
        </w:tc>
        <w:tc>
          <w:tcPr>
            <w:tcW w:w="7122" w:type="dxa"/>
          </w:tcPr>
          <w:p w14:paraId="0B0CF2C2"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Assist in the production and updating of Local Governing Body schedules of work, preparation of reports and dashboards to the Trust Board, and support LGBs to annually evaluate and report on their effectiveness to the Trust Board.</w:t>
            </w:r>
          </w:p>
        </w:tc>
        <w:tc>
          <w:tcPr>
            <w:tcW w:w="701" w:type="dxa"/>
          </w:tcPr>
          <w:p w14:paraId="0AC9AA43" w14:textId="522043C7"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6ED533FB" w14:textId="77777777" w:rsidTr="00A12228">
        <w:tc>
          <w:tcPr>
            <w:tcW w:w="1923" w:type="dxa"/>
            <w:vMerge/>
          </w:tcPr>
          <w:p w14:paraId="033B67C4"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19087C08"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17</w:t>
            </w:r>
          </w:p>
        </w:tc>
        <w:tc>
          <w:tcPr>
            <w:tcW w:w="7122" w:type="dxa"/>
          </w:tcPr>
          <w:p w14:paraId="758B10BA"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Schedule annual Governor Skills Audits, collate and analyse the results and prepare report for the Trust Board.</w:t>
            </w:r>
          </w:p>
        </w:tc>
        <w:tc>
          <w:tcPr>
            <w:tcW w:w="701" w:type="dxa"/>
          </w:tcPr>
          <w:p w14:paraId="730DADE6" w14:textId="3AD4FCC4"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3690BBD9" w14:textId="77777777" w:rsidTr="00A12228">
        <w:tc>
          <w:tcPr>
            <w:tcW w:w="1923" w:type="dxa"/>
            <w:vMerge/>
          </w:tcPr>
          <w:p w14:paraId="043825E3"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7912391F"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18</w:t>
            </w:r>
          </w:p>
        </w:tc>
        <w:tc>
          <w:tcPr>
            <w:tcW w:w="7122" w:type="dxa"/>
          </w:tcPr>
          <w:p w14:paraId="4B265B4A"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Organise and manage annual Governor Day.</w:t>
            </w:r>
          </w:p>
        </w:tc>
        <w:tc>
          <w:tcPr>
            <w:tcW w:w="701" w:type="dxa"/>
          </w:tcPr>
          <w:p w14:paraId="1988F7A2" w14:textId="17F1AC05"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54592093" w14:textId="77777777" w:rsidTr="00A12228">
        <w:tc>
          <w:tcPr>
            <w:tcW w:w="1923" w:type="dxa"/>
            <w:vMerge/>
          </w:tcPr>
          <w:p w14:paraId="69833DEF"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6AEBEC50"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19</w:t>
            </w:r>
          </w:p>
        </w:tc>
        <w:tc>
          <w:tcPr>
            <w:tcW w:w="7122" w:type="dxa"/>
          </w:tcPr>
          <w:p w14:paraId="77D5A7E1" w14:textId="77777777" w:rsidR="00A12228" w:rsidRPr="00405295" w:rsidRDefault="00A12228" w:rsidP="00A12228">
            <w:pPr>
              <w:tabs>
                <w:tab w:val="left" w:pos="3450"/>
                <w:tab w:val="left" w:pos="3495"/>
              </w:tabs>
              <w:rPr>
                <w:rFonts w:ascii="Source Sans Pro" w:hAnsi="Source Sans Pro"/>
                <w:bCs/>
              </w:rPr>
            </w:pPr>
            <w:r w:rsidRPr="00405295">
              <w:rPr>
                <w:rFonts w:ascii="Source Sans Pro" w:hAnsi="Source Sans Pro"/>
                <w:bCs/>
              </w:rPr>
              <w:t>Monitor Governor training schedules and visits and prepare report to the Trust Board.</w:t>
            </w:r>
          </w:p>
        </w:tc>
        <w:tc>
          <w:tcPr>
            <w:tcW w:w="701" w:type="dxa"/>
          </w:tcPr>
          <w:p w14:paraId="5A965574" w14:textId="2D60F3DD"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543112C6" w14:textId="77777777" w:rsidTr="00A12228">
        <w:tc>
          <w:tcPr>
            <w:tcW w:w="1923" w:type="dxa"/>
            <w:vMerge/>
          </w:tcPr>
          <w:p w14:paraId="7A4394A5"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0DAA77B4" w14:textId="77777777" w:rsidR="00A12228" w:rsidRPr="00405295" w:rsidRDefault="00A12228" w:rsidP="00A12228">
            <w:pPr>
              <w:tabs>
                <w:tab w:val="left" w:pos="3450"/>
                <w:tab w:val="left" w:pos="3495"/>
              </w:tabs>
              <w:jc w:val="both"/>
              <w:rPr>
                <w:rFonts w:ascii="Source Sans Pro" w:hAnsi="Source Sans Pro"/>
                <w:bCs/>
              </w:rPr>
            </w:pPr>
            <w:r w:rsidRPr="00405295">
              <w:rPr>
                <w:rFonts w:ascii="Source Sans Pro" w:hAnsi="Source Sans Pro"/>
                <w:bCs/>
              </w:rPr>
              <w:t>21</w:t>
            </w:r>
          </w:p>
        </w:tc>
        <w:tc>
          <w:tcPr>
            <w:tcW w:w="7122" w:type="dxa"/>
          </w:tcPr>
          <w:p w14:paraId="5FBEEE4F" w14:textId="77777777" w:rsidR="00A12228" w:rsidRPr="00405295" w:rsidRDefault="00A12228" w:rsidP="00A12228">
            <w:pPr>
              <w:tabs>
                <w:tab w:val="left" w:pos="3450"/>
                <w:tab w:val="left" w:pos="3495"/>
              </w:tabs>
              <w:jc w:val="both"/>
              <w:rPr>
                <w:rFonts w:ascii="Source Sans Pro" w:hAnsi="Source Sans Pro"/>
                <w:bCs/>
              </w:rPr>
            </w:pPr>
            <w:r w:rsidRPr="00405295">
              <w:rPr>
                <w:rFonts w:ascii="Source Sans Pro" w:hAnsi="Source Sans Pro"/>
                <w:bCs/>
              </w:rPr>
              <w:t>Support the Company Secretary in the managing of the Trust and Local Governing Body annual calendar of meetings.</w:t>
            </w:r>
          </w:p>
        </w:tc>
        <w:tc>
          <w:tcPr>
            <w:tcW w:w="701" w:type="dxa"/>
          </w:tcPr>
          <w:p w14:paraId="3AC93633" w14:textId="7B783A07"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r w:rsidR="00A12228" w:rsidRPr="00405295" w14:paraId="40B135E5" w14:textId="77777777" w:rsidTr="00A12228">
        <w:tc>
          <w:tcPr>
            <w:tcW w:w="1923" w:type="dxa"/>
            <w:vMerge/>
          </w:tcPr>
          <w:p w14:paraId="79AA245F" w14:textId="77777777" w:rsidR="00A12228" w:rsidRPr="00405295" w:rsidRDefault="00A12228" w:rsidP="00A12228">
            <w:pPr>
              <w:tabs>
                <w:tab w:val="left" w:pos="3450"/>
                <w:tab w:val="left" w:pos="3495"/>
              </w:tabs>
              <w:jc w:val="both"/>
              <w:rPr>
                <w:rFonts w:ascii="Source Sans Pro" w:hAnsi="Source Sans Pro"/>
                <w:b/>
                <w:bCs/>
              </w:rPr>
            </w:pPr>
          </w:p>
        </w:tc>
        <w:tc>
          <w:tcPr>
            <w:tcW w:w="455" w:type="dxa"/>
          </w:tcPr>
          <w:p w14:paraId="0F4246AD" w14:textId="77777777" w:rsidR="00A12228" w:rsidRPr="00405295" w:rsidRDefault="00A12228" w:rsidP="00A12228">
            <w:pPr>
              <w:tabs>
                <w:tab w:val="left" w:pos="3450"/>
                <w:tab w:val="left" w:pos="3495"/>
              </w:tabs>
              <w:jc w:val="both"/>
              <w:rPr>
                <w:rFonts w:ascii="Source Sans Pro" w:hAnsi="Source Sans Pro"/>
                <w:bCs/>
              </w:rPr>
            </w:pPr>
            <w:r w:rsidRPr="00405295">
              <w:rPr>
                <w:rFonts w:ascii="Source Sans Pro" w:hAnsi="Source Sans Pro"/>
                <w:bCs/>
              </w:rPr>
              <w:t>22</w:t>
            </w:r>
          </w:p>
        </w:tc>
        <w:tc>
          <w:tcPr>
            <w:tcW w:w="7122" w:type="dxa"/>
          </w:tcPr>
          <w:p w14:paraId="7C9E1F8E" w14:textId="77777777" w:rsidR="00A12228" w:rsidRPr="00405295" w:rsidRDefault="00A12228" w:rsidP="00A12228">
            <w:pPr>
              <w:tabs>
                <w:tab w:val="left" w:pos="3450"/>
                <w:tab w:val="left" w:pos="3495"/>
              </w:tabs>
              <w:jc w:val="both"/>
              <w:rPr>
                <w:rFonts w:ascii="Source Sans Pro" w:hAnsi="Source Sans Pro"/>
                <w:bCs/>
              </w:rPr>
            </w:pPr>
            <w:r w:rsidRPr="00405295">
              <w:rPr>
                <w:rFonts w:ascii="Source Sans Pro" w:hAnsi="Source Sans Pro"/>
                <w:bCs/>
              </w:rPr>
              <w:t>Carry out any other reasonable instructions given by the Governance Professional in order to support the work of the Trust and its schools.</w:t>
            </w:r>
          </w:p>
        </w:tc>
        <w:tc>
          <w:tcPr>
            <w:tcW w:w="701" w:type="dxa"/>
          </w:tcPr>
          <w:p w14:paraId="592D7A14" w14:textId="4E570917" w:rsidR="00A12228" w:rsidRPr="00405295" w:rsidRDefault="00A12228" w:rsidP="00A12228">
            <w:pPr>
              <w:jc w:val="center"/>
              <w:rPr>
                <w:rFonts w:ascii="Source Sans Pro" w:hAnsi="Source Sans Pro"/>
                <w:sz w:val="32"/>
                <w:szCs w:val="32"/>
              </w:rPr>
            </w:pPr>
            <w:r w:rsidRPr="00ED34E6">
              <w:rPr>
                <w:rFonts w:ascii="Source Sans Pro" w:hAnsi="Source Sans Pro"/>
                <w:sz w:val="32"/>
                <w:szCs w:val="32"/>
              </w:rPr>
              <w:sym w:font="Wingdings 2" w:char="F050"/>
            </w:r>
          </w:p>
        </w:tc>
      </w:tr>
    </w:tbl>
    <w:p w14:paraId="71C01EDB" w14:textId="672E1D04" w:rsidR="00D41C6B" w:rsidRPr="00180EA8" w:rsidRDefault="00405295" w:rsidP="009F253C">
      <w:pPr>
        <w:pStyle w:val="Heading2"/>
        <w:rPr>
          <w:color w:val="028483"/>
        </w:rPr>
      </w:pPr>
      <w:r w:rsidRPr="00180EA8">
        <w:rPr>
          <w:rFonts w:ascii="Source Sans Pro" w:hAnsi="Source Sans Pro"/>
          <w:color w:val="028483"/>
        </w:rPr>
        <w:t xml:space="preserve">General </w:t>
      </w:r>
    </w:p>
    <w:p w14:paraId="2582E455"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Represent and promote the ethos and values of the Orchard Learning Alliance. </w:t>
      </w:r>
    </w:p>
    <w:p w14:paraId="297E4854"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Take and be accountable for all decisions made within the parameters of the job description. </w:t>
      </w:r>
    </w:p>
    <w:p w14:paraId="6CA981E0"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Attend Trust events, meetings and training sessions as required. </w:t>
      </w:r>
    </w:p>
    <w:p w14:paraId="3DE85387"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Ensure compliance with all relevant policies and legislation, e.g Safeguarding, Health, Safety and Wellbeing, Equal Opportunities. </w:t>
      </w:r>
    </w:p>
    <w:p w14:paraId="14D94447"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Demonstrate a calm and professional attitude at all times whilst maintaining professional relationships. </w:t>
      </w:r>
    </w:p>
    <w:p w14:paraId="6E1D1049"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Provide reports to Senior Management as required.  </w:t>
      </w:r>
    </w:p>
    <w:p w14:paraId="6C06BF12"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Keep up to date with best practice, undertake relevant training, and knowledge-share within the team to ensure continuous development and improvement in the service offered. </w:t>
      </w:r>
    </w:p>
    <w:p w14:paraId="59DD0DCC"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Role model appropriate behaviours within a professional environment including conduct, communication, and personal appearance. </w:t>
      </w:r>
    </w:p>
    <w:p w14:paraId="1067397B"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Aspire to develop own professional skills and qualifications. </w:t>
      </w:r>
    </w:p>
    <w:p w14:paraId="6314EC83"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Use all forms of social media appropriately. </w:t>
      </w:r>
    </w:p>
    <w:p w14:paraId="34C24CB6"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Take responsibility for the reputational management of all sites across the Trust. </w:t>
      </w:r>
    </w:p>
    <w:p w14:paraId="1D05A3E8"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Contribute to systems of evaluation and performance of the organisation positively. </w:t>
      </w:r>
    </w:p>
    <w:p w14:paraId="7C6DC130" w14:textId="77777777" w:rsidR="00405295" w:rsidRPr="00405295" w:rsidRDefault="00405295" w:rsidP="00405295">
      <w:pPr>
        <w:pStyle w:val="ListParagraph"/>
        <w:numPr>
          <w:ilvl w:val="0"/>
          <w:numId w:val="16"/>
        </w:numPr>
        <w:spacing w:after="120"/>
        <w:rPr>
          <w:rFonts w:ascii="Source Sans Pro" w:hAnsi="Source Sans Pro"/>
        </w:rPr>
      </w:pPr>
      <w:r w:rsidRPr="00405295">
        <w:rPr>
          <w:rFonts w:ascii="Source Sans Pro" w:hAnsi="Source Sans Pro"/>
        </w:rPr>
        <w:t xml:space="preserve">Undertake any other appropriate duties as required to support the Governance Professional to enable them to fulfil their role. </w:t>
      </w:r>
    </w:p>
    <w:p w14:paraId="19993A56" w14:textId="77777777" w:rsidR="00405295" w:rsidRPr="00405295" w:rsidRDefault="00405295" w:rsidP="00405295">
      <w:pPr>
        <w:rPr>
          <w:rFonts w:ascii="Source Sans Pro" w:hAnsi="Source Sans Pro"/>
        </w:rPr>
      </w:pPr>
    </w:p>
    <w:p w14:paraId="4C68ACE7" w14:textId="180EBE24" w:rsidR="00D41C6B" w:rsidRPr="00180EA8" w:rsidRDefault="00405295" w:rsidP="009F253C">
      <w:pPr>
        <w:pStyle w:val="Heading2"/>
        <w:rPr>
          <w:color w:val="028483"/>
        </w:rPr>
      </w:pPr>
      <w:r w:rsidRPr="00180EA8">
        <w:rPr>
          <w:rFonts w:ascii="Source Sans Pro" w:hAnsi="Source Sans Pro"/>
          <w:color w:val="028483"/>
        </w:rPr>
        <w:t>Person Specification</w:t>
      </w:r>
    </w:p>
    <w:tbl>
      <w:tblPr>
        <w:tblStyle w:val="TableGrid"/>
        <w:tblpPr w:leftFromText="180" w:rightFromText="180" w:vertAnchor="text" w:tblpX="-289" w:tblpY="1"/>
        <w:tblOverlap w:val="never"/>
        <w:tblW w:w="10349" w:type="dxa"/>
        <w:tblCellMar>
          <w:top w:w="28" w:type="dxa"/>
          <w:bottom w:w="28" w:type="dxa"/>
        </w:tblCellMar>
        <w:tblLook w:val="04A0" w:firstRow="1" w:lastRow="0" w:firstColumn="1" w:lastColumn="0" w:noHBand="0" w:noVBand="1"/>
      </w:tblPr>
      <w:tblGrid>
        <w:gridCol w:w="2411"/>
        <w:gridCol w:w="3969"/>
        <w:gridCol w:w="3969"/>
      </w:tblGrid>
      <w:tr w:rsidR="00405295" w:rsidRPr="00405295" w14:paraId="19415F31" w14:textId="77777777" w:rsidTr="00AC0D49">
        <w:tc>
          <w:tcPr>
            <w:tcW w:w="2411" w:type="dxa"/>
          </w:tcPr>
          <w:p w14:paraId="42144745" w14:textId="77777777" w:rsidR="00405295" w:rsidRPr="00405295" w:rsidRDefault="00405295" w:rsidP="00AC0D49">
            <w:pPr>
              <w:rPr>
                <w:rFonts w:ascii="Source Sans Pro" w:hAnsi="Source Sans Pro"/>
              </w:rPr>
            </w:pPr>
          </w:p>
        </w:tc>
        <w:tc>
          <w:tcPr>
            <w:tcW w:w="3969" w:type="dxa"/>
          </w:tcPr>
          <w:p w14:paraId="1EFEFDDB" w14:textId="77777777" w:rsidR="00405295" w:rsidRPr="00405295" w:rsidRDefault="00405295" w:rsidP="00AC0D49">
            <w:pPr>
              <w:pStyle w:val="Heading5"/>
              <w:rPr>
                <w:rFonts w:ascii="Source Sans Pro" w:hAnsi="Source Sans Pro"/>
              </w:rPr>
            </w:pPr>
            <w:r w:rsidRPr="00405295">
              <w:rPr>
                <w:rFonts w:ascii="Source Sans Pro" w:hAnsi="Source Sans Pro"/>
              </w:rPr>
              <w:t>Essential</w:t>
            </w:r>
          </w:p>
        </w:tc>
        <w:tc>
          <w:tcPr>
            <w:tcW w:w="3969" w:type="dxa"/>
          </w:tcPr>
          <w:p w14:paraId="375D8197" w14:textId="77777777" w:rsidR="00405295" w:rsidRPr="00405295" w:rsidRDefault="00405295" w:rsidP="00AC0D49">
            <w:pPr>
              <w:pStyle w:val="Heading5"/>
              <w:rPr>
                <w:rFonts w:ascii="Source Sans Pro" w:hAnsi="Source Sans Pro"/>
              </w:rPr>
            </w:pPr>
            <w:r w:rsidRPr="00405295">
              <w:rPr>
                <w:rFonts w:ascii="Source Sans Pro" w:hAnsi="Source Sans Pro"/>
              </w:rPr>
              <w:t>Desirable</w:t>
            </w:r>
          </w:p>
        </w:tc>
      </w:tr>
      <w:tr w:rsidR="00405295" w:rsidRPr="00405295" w14:paraId="3E756954" w14:textId="77777777" w:rsidTr="00AC0D49">
        <w:tc>
          <w:tcPr>
            <w:tcW w:w="2411" w:type="dxa"/>
          </w:tcPr>
          <w:p w14:paraId="7BED8C66" w14:textId="77777777" w:rsidR="00405295" w:rsidRPr="00405295" w:rsidRDefault="00405295" w:rsidP="00AC0D49">
            <w:pPr>
              <w:pStyle w:val="Heading5"/>
              <w:rPr>
                <w:rFonts w:ascii="Source Sans Pro" w:hAnsi="Source Sans Pro"/>
              </w:rPr>
            </w:pPr>
            <w:r w:rsidRPr="00405295">
              <w:rPr>
                <w:rFonts w:ascii="Source Sans Pro" w:hAnsi="Source Sans Pro"/>
              </w:rPr>
              <w:t>Qualifications and Training</w:t>
            </w:r>
          </w:p>
        </w:tc>
        <w:tc>
          <w:tcPr>
            <w:tcW w:w="3969" w:type="dxa"/>
          </w:tcPr>
          <w:p w14:paraId="63302EB2" w14:textId="77777777" w:rsidR="00405295" w:rsidRPr="00405295" w:rsidRDefault="00405295" w:rsidP="00405295">
            <w:pPr>
              <w:pStyle w:val="Default"/>
              <w:numPr>
                <w:ilvl w:val="0"/>
                <w:numId w:val="18"/>
              </w:numPr>
              <w:spacing w:after="80"/>
              <w:ind w:left="357" w:hanging="357"/>
              <w:rPr>
                <w:sz w:val="22"/>
                <w:szCs w:val="22"/>
              </w:rPr>
            </w:pPr>
            <w:r w:rsidRPr="00405295">
              <w:rPr>
                <w:sz w:val="22"/>
                <w:szCs w:val="22"/>
              </w:rPr>
              <w:t xml:space="preserve">Good prior educational attainment at a minimum of A-level or equivalent or NVQ level 4 in an appropriate vocational area. </w:t>
            </w:r>
          </w:p>
          <w:p w14:paraId="4A7C566E" w14:textId="77777777" w:rsidR="00405295" w:rsidRPr="00405295" w:rsidRDefault="00405295" w:rsidP="00405295">
            <w:pPr>
              <w:pStyle w:val="Default"/>
              <w:numPr>
                <w:ilvl w:val="0"/>
                <w:numId w:val="18"/>
              </w:numPr>
              <w:spacing w:after="80"/>
              <w:ind w:left="357" w:hanging="357"/>
              <w:rPr>
                <w:sz w:val="22"/>
                <w:szCs w:val="22"/>
              </w:rPr>
            </w:pPr>
            <w:r w:rsidRPr="00405295">
              <w:rPr>
                <w:sz w:val="22"/>
                <w:szCs w:val="22"/>
              </w:rPr>
              <w:lastRenderedPageBreak/>
              <w:t>Driving license</w:t>
            </w:r>
          </w:p>
        </w:tc>
        <w:tc>
          <w:tcPr>
            <w:tcW w:w="3969" w:type="dxa"/>
          </w:tcPr>
          <w:p w14:paraId="1F0C85CA" w14:textId="77777777" w:rsidR="00405295" w:rsidRPr="00405295" w:rsidRDefault="00405295" w:rsidP="00405295">
            <w:pPr>
              <w:pStyle w:val="ListParagraph"/>
              <w:numPr>
                <w:ilvl w:val="0"/>
                <w:numId w:val="18"/>
              </w:numPr>
              <w:spacing w:after="80"/>
              <w:ind w:left="357" w:hanging="357"/>
              <w:contextualSpacing w:val="0"/>
              <w:rPr>
                <w:rFonts w:ascii="Source Sans Pro" w:hAnsi="Source Sans Pro"/>
              </w:rPr>
            </w:pPr>
            <w:r w:rsidRPr="00405295">
              <w:rPr>
                <w:rFonts w:ascii="Source Sans Pro" w:hAnsi="Source Sans Pro"/>
              </w:rPr>
              <w:lastRenderedPageBreak/>
              <w:t>Qualified to degree level</w:t>
            </w:r>
          </w:p>
        </w:tc>
      </w:tr>
      <w:tr w:rsidR="00405295" w:rsidRPr="00405295" w14:paraId="1C9765FD" w14:textId="77777777" w:rsidTr="00AC0D49">
        <w:tc>
          <w:tcPr>
            <w:tcW w:w="2411" w:type="dxa"/>
          </w:tcPr>
          <w:p w14:paraId="39569847" w14:textId="77777777" w:rsidR="00405295" w:rsidRPr="00405295" w:rsidRDefault="00405295" w:rsidP="00AC0D49">
            <w:pPr>
              <w:pStyle w:val="Heading5"/>
              <w:rPr>
                <w:rFonts w:ascii="Source Sans Pro" w:hAnsi="Source Sans Pro"/>
              </w:rPr>
            </w:pPr>
            <w:r w:rsidRPr="00405295">
              <w:rPr>
                <w:rFonts w:ascii="Source Sans Pro" w:hAnsi="Source Sans Pro"/>
              </w:rPr>
              <w:t>Experience, Knowledge and Skills</w:t>
            </w:r>
          </w:p>
        </w:tc>
        <w:tc>
          <w:tcPr>
            <w:tcW w:w="3969" w:type="dxa"/>
          </w:tcPr>
          <w:p w14:paraId="4A1CB0B0"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An understanding of school or education settings, specifically secondary level.</w:t>
            </w:r>
          </w:p>
          <w:p w14:paraId="49B3220F"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Experience of working within a school, local authority or multi-academy trust.</w:t>
            </w:r>
          </w:p>
          <w:p w14:paraId="782E7648"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Outstanding interpersonal skills including listening and communication. </w:t>
            </w:r>
          </w:p>
          <w:p w14:paraId="297CAA62"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Significant and proven experience of clerking work and producing minutes. </w:t>
            </w:r>
          </w:p>
          <w:p w14:paraId="2EA13FC1"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Excellent organisational skills and ability to manage multiple deadlines. </w:t>
            </w:r>
          </w:p>
          <w:p w14:paraId="7B1793E5"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Strong IT and literacy skills including use of Microsoft Office. </w:t>
            </w:r>
          </w:p>
          <w:p w14:paraId="5291AEA7"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Ability and confidence to work using own initiative, as well as to follow direction and work in collaboration with others on all levels.</w:t>
            </w:r>
          </w:p>
          <w:p w14:paraId="39E61D40"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Excellent professional skills and proven ability to work and build good working relationships with a variety of stakeholders. </w:t>
            </w:r>
          </w:p>
          <w:p w14:paraId="4BFCFF42"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High level of writing skills including spelling, grammar, punctuation and accuracy. </w:t>
            </w:r>
          </w:p>
        </w:tc>
        <w:tc>
          <w:tcPr>
            <w:tcW w:w="3969" w:type="dxa"/>
          </w:tcPr>
          <w:p w14:paraId="43D96D1B"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An understanding of school or education settings at primary level.</w:t>
            </w:r>
          </w:p>
          <w:p w14:paraId="073B6E64"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Experience of clerking for more than one group of stakeholders. </w:t>
            </w:r>
          </w:p>
          <w:p w14:paraId="0E06B40B"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Experience with a governance platform or equivalent system.</w:t>
            </w:r>
          </w:p>
          <w:p w14:paraId="3235C8F0"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Working knowledge of relevant policies, procedures, codes of practice and awareness of relevant legislation – e.g. Company &amp; Charity law, DfE, governance. </w:t>
            </w:r>
          </w:p>
          <w:p w14:paraId="546A68D7"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Experience of clerking panels, such as complaints and exclusions. </w:t>
            </w:r>
          </w:p>
          <w:p w14:paraId="1144EF27" w14:textId="77777777" w:rsidR="00405295" w:rsidRPr="00405295" w:rsidRDefault="00405295" w:rsidP="00AC0D49">
            <w:pPr>
              <w:rPr>
                <w:rFonts w:ascii="Source Sans Pro" w:hAnsi="Source Sans Pro"/>
              </w:rPr>
            </w:pPr>
          </w:p>
        </w:tc>
      </w:tr>
      <w:tr w:rsidR="00405295" w:rsidRPr="00405295" w14:paraId="195FF718" w14:textId="77777777" w:rsidTr="00AC0D49">
        <w:tc>
          <w:tcPr>
            <w:tcW w:w="2411" w:type="dxa"/>
          </w:tcPr>
          <w:p w14:paraId="773064F0" w14:textId="77777777" w:rsidR="00405295" w:rsidRPr="00405295" w:rsidRDefault="00405295" w:rsidP="00AC0D49">
            <w:pPr>
              <w:pStyle w:val="Heading5"/>
              <w:rPr>
                <w:rFonts w:ascii="Source Sans Pro" w:hAnsi="Source Sans Pro"/>
              </w:rPr>
            </w:pPr>
            <w:r w:rsidRPr="00405295">
              <w:rPr>
                <w:rFonts w:ascii="Source Sans Pro" w:hAnsi="Source Sans Pro"/>
              </w:rPr>
              <w:t>Values and Personal Competencies</w:t>
            </w:r>
          </w:p>
        </w:tc>
        <w:tc>
          <w:tcPr>
            <w:tcW w:w="3969" w:type="dxa"/>
          </w:tcPr>
          <w:p w14:paraId="169D36B6"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Trustworthy, reliable and responsible; discretion and confidentiality when dealing with sensitive matters. </w:t>
            </w:r>
          </w:p>
          <w:p w14:paraId="2848B0C5"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Committed and enthusiastic to learn new skills. </w:t>
            </w:r>
          </w:p>
          <w:p w14:paraId="07B24871"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Demonstrate personal and professional integrity, including modelling values and vision. </w:t>
            </w:r>
          </w:p>
          <w:p w14:paraId="5D91C67B"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Willingness to contribute new innovative ideas. </w:t>
            </w:r>
          </w:p>
          <w:p w14:paraId="3C7835B3"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Flexible and well-organised approach to work and able to prioritise workload to meet deadlines. </w:t>
            </w:r>
          </w:p>
          <w:p w14:paraId="6AB0E5C6"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lastRenderedPageBreak/>
              <w:t xml:space="preserve">Team focused with the ability to work independently and take initiative. </w:t>
            </w:r>
          </w:p>
          <w:p w14:paraId="1F6BBD4A"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Committed to equality, diversity and inclusion. </w:t>
            </w:r>
          </w:p>
          <w:p w14:paraId="034989FE"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t xml:space="preserve">Strong morals, ethics and sound judgement. </w:t>
            </w:r>
          </w:p>
        </w:tc>
        <w:tc>
          <w:tcPr>
            <w:tcW w:w="3969" w:type="dxa"/>
          </w:tcPr>
          <w:p w14:paraId="373F7B0A" w14:textId="77777777" w:rsidR="00405295" w:rsidRPr="00405295" w:rsidRDefault="00405295" w:rsidP="00405295">
            <w:pPr>
              <w:pStyle w:val="Default"/>
              <w:numPr>
                <w:ilvl w:val="0"/>
                <w:numId w:val="17"/>
              </w:numPr>
              <w:spacing w:after="80"/>
              <w:ind w:left="357" w:hanging="357"/>
              <w:rPr>
                <w:sz w:val="22"/>
                <w:szCs w:val="22"/>
              </w:rPr>
            </w:pPr>
            <w:r w:rsidRPr="00405295">
              <w:rPr>
                <w:sz w:val="22"/>
                <w:szCs w:val="22"/>
              </w:rPr>
              <w:lastRenderedPageBreak/>
              <w:t xml:space="preserve">Strong adaptability to change and development. </w:t>
            </w:r>
          </w:p>
        </w:tc>
      </w:tr>
    </w:tbl>
    <w:p w14:paraId="119710A3" w14:textId="77777777" w:rsidR="00405295" w:rsidRPr="00405295" w:rsidRDefault="00405295" w:rsidP="00405295">
      <w:pPr>
        <w:rPr>
          <w:rFonts w:ascii="Source Sans Pro" w:hAnsi="Source Sans Pro"/>
        </w:rPr>
      </w:pPr>
    </w:p>
    <w:p w14:paraId="1F403688" w14:textId="2D209BA5" w:rsidR="00D41C6B" w:rsidRDefault="00405295" w:rsidP="009F253C">
      <w:pPr>
        <w:pStyle w:val="Heading2"/>
        <w:rPr>
          <w:rFonts w:ascii="Source Sans Pro" w:hAnsi="Source Sans Pro"/>
          <w:color w:val="028483"/>
        </w:rPr>
      </w:pPr>
      <w:r w:rsidRPr="00180EA8">
        <w:rPr>
          <w:rFonts w:ascii="Source Sans Pro" w:hAnsi="Source Sans Pro"/>
          <w:color w:val="028483"/>
        </w:rPr>
        <w:t xml:space="preserve">Safer </w:t>
      </w:r>
      <w:r w:rsidRPr="00B020F8">
        <w:rPr>
          <w:rFonts w:ascii="Source Sans Pro" w:hAnsi="Source Sans Pro"/>
          <w:color w:val="028483"/>
        </w:rPr>
        <w:t xml:space="preserve">Recruitment &amp; Safeguarding </w:t>
      </w:r>
    </w:p>
    <w:p w14:paraId="5A5DB015" w14:textId="77777777" w:rsidR="00B020F8" w:rsidRPr="00B020F8" w:rsidRDefault="00B020F8" w:rsidP="00B020F8"/>
    <w:p w14:paraId="1CFCFC8C" w14:textId="5EA3F10C" w:rsidR="00D41C6B" w:rsidRPr="00D41C6B" w:rsidRDefault="00405295" w:rsidP="00B020F8">
      <w:pPr>
        <w:pStyle w:val="Heading5"/>
      </w:pPr>
      <w:r w:rsidRPr="00B020F8">
        <w:rPr>
          <w:rFonts w:ascii="Source Sans Pro" w:hAnsi="Source Sans Pro"/>
          <w:color w:val="028483"/>
        </w:rPr>
        <w:t xml:space="preserve">Introduction </w:t>
      </w:r>
    </w:p>
    <w:p w14:paraId="1184E934" w14:textId="77777777" w:rsidR="00405295" w:rsidRPr="00405295" w:rsidRDefault="00405295" w:rsidP="00405295">
      <w:pPr>
        <w:rPr>
          <w:rFonts w:ascii="Source Sans Pro" w:hAnsi="Source Sans Pro"/>
        </w:rPr>
      </w:pPr>
      <w:r w:rsidRPr="00405295">
        <w:rPr>
          <w:rFonts w:ascii="Source Sans Pro" w:hAnsi="Source Sans Pro"/>
        </w:rPr>
        <w:t xml:space="preserve">The Orchard Learning Alliance is committed to safeguarding and promoting the welfare </w:t>
      </w:r>
    </w:p>
    <w:p w14:paraId="32F32CE2" w14:textId="77777777" w:rsidR="00405295" w:rsidRDefault="00405295" w:rsidP="00405295">
      <w:pPr>
        <w:rPr>
          <w:rFonts w:ascii="Source Sans Pro" w:hAnsi="Source Sans Pro"/>
        </w:rPr>
      </w:pPr>
      <w:r w:rsidRPr="00405295">
        <w:rPr>
          <w:rFonts w:ascii="Source Sans Pro" w:hAnsi="Source Sans Pro"/>
        </w:rPr>
        <w:t xml:space="preserve">of children and young people in its schools. The Trust complies with the statutory legislative requirements and guidance that seeks to protect children, including ‘Keeping Children Safe in Education’ guidance. In order to meet this responsibility, we follow a rigorous selection process to discourage and screen out unsuitable applicants. </w:t>
      </w:r>
    </w:p>
    <w:p w14:paraId="0B5A9917" w14:textId="77777777" w:rsidR="00D41C6B" w:rsidRPr="00405295" w:rsidRDefault="00D41C6B" w:rsidP="00405295">
      <w:pPr>
        <w:rPr>
          <w:rFonts w:ascii="Source Sans Pro" w:hAnsi="Source Sans Pro"/>
        </w:rPr>
      </w:pPr>
    </w:p>
    <w:p w14:paraId="06EE17D8" w14:textId="77B8F72C" w:rsidR="00D41C6B" w:rsidRPr="00B020F8" w:rsidRDefault="00405295" w:rsidP="009F253C">
      <w:pPr>
        <w:pStyle w:val="Heading5"/>
        <w:rPr>
          <w:color w:val="028483"/>
        </w:rPr>
      </w:pPr>
      <w:r w:rsidRPr="00B020F8">
        <w:rPr>
          <w:rFonts w:ascii="Source Sans Pro" w:hAnsi="Source Sans Pro"/>
          <w:color w:val="028483"/>
        </w:rPr>
        <w:t xml:space="preserve">Safer Recruitment </w:t>
      </w:r>
    </w:p>
    <w:p w14:paraId="45E83FCB" w14:textId="77777777" w:rsidR="00405295" w:rsidRDefault="00405295" w:rsidP="00405295">
      <w:pPr>
        <w:rPr>
          <w:rFonts w:ascii="Source Sans Pro" w:hAnsi="Source Sans Pro"/>
        </w:rPr>
      </w:pPr>
      <w:r w:rsidRPr="00405295">
        <w:rPr>
          <w:rFonts w:ascii="Source Sans Pro" w:hAnsi="Source Sans Pro"/>
        </w:rPr>
        <w:t xml:space="preserve">Job descriptions and person specifications make reference to safeguarding and child protection. All posts are subject to satisfactory completion of enhanced Disclosure and Barring Service certificate (DBS) checks. All advertisements include a safeguarding statement and commitment. </w:t>
      </w:r>
    </w:p>
    <w:p w14:paraId="4AE14091" w14:textId="77777777" w:rsidR="00D41C6B" w:rsidRPr="00405295" w:rsidRDefault="00D41C6B" w:rsidP="00405295">
      <w:pPr>
        <w:rPr>
          <w:rFonts w:ascii="Source Sans Pro" w:hAnsi="Source Sans Pro"/>
        </w:rPr>
      </w:pPr>
    </w:p>
    <w:p w14:paraId="6F846078" w14:textId="5C82C8A9" w:rsidR="00D41C6B" w:rsidRPr="00B020F8" w:rsidRDefault="00405295" w:rsidP="009F253C">
      <w:pPr>
        <w:pStyle w:val="Heading5"/>
        <w:rPr>
          <w:color w:val="028483"/>
        </w:rPr>
      </w:pPr>
      <w:r w:rsidRPr="00B020F8">
        <w:rPr>
          <w:rFonts w:ascii="Source Sans Pro" w:hAnsi="Source Sans Pro"/>
          <w:color w:val="028483"/>
        </w:rPr>
        <w:t xml:space="preserve">Application Stage </w:t>
      </w:r>
    </w:p>
    <w:p w14:paraId="4099D84E" w14:textId="77777777" w:rsidR="00405295" w:rsidRDefault="00405295" w:rsidP="00405295">
      <w:pPr>
        <w:rPr>
          <w:rFonts w:ascii="Source Sans Pro" w:hAnsi="Source Sans Pro"/>
        </w:rPr>
      </w:pPr>
      <w:r w:rsidRPr="00405295">
        <w:rPr>
          <w:rFonts w:ascii="Source Sans Pro" w:hAnsi="Source Sans Pro"/>
        </w:rPr>
        <w:t xml:space="preserve">All applicants are scrutinised to verify identity and academic qualifications, and professional references are requested using our standard pro-forma for short-listed candidates. As a minimum, references should be from the two most recent employers. References are checked against previous employment history and gaps in employment. Professional references must be obtained from work email addresses. Our standard reference proforma makes reference to suitability to work with children and young people. The application form requires applicants to complete a disclosure of any criminal convictions. </w:t>
      </w:r>
    </w:p>
    <w:p w14:paraId="20A44D4F" w14:textId="77777777" w:rsidR="00D41C6B" w:rsidRPr="00405295" w:rsidRDefault="00D41C6B" w:rsidP="00405295">
      <w:pPr>
        <w:rPr>
          <w:rFonts w:ascii="Source Sans Pro" w:hAnsi="Source Sans Pro"/>
        </w:rPr>
      </w:pPr>
    </w:p>
    <w:p w14:paraId="74C39DCA" w14:textId="715218C3" w:rsidR="00D41C6B" w:rsidRPr="00B020F8" w:rsidRDefault="00405295" w:rsidP="009F253C">
      <w:pPr>
        <w:pStyle w:val="Heading5"/>
        <w:rPr>
          <w:color w:val="028483"/>
        </w:rPr>
      </w:pPr>
      <w:r w:rsidRPr="00B020F8">
        <w:rPr>
          <w:rFonts w:ascii="Source Sans Pro" w:hAnsi="Source Sans Pro"/>
          <w:color w:val="028483"/>
        </w:rPr>
        <w:t xml:space="preserve">Short-listing </w:t>
      </w:r>
    </w:p>
    <w:p w14:paraId="0974EFC9" w14:textId="77777777" w:rsidR="00405295" w:rsidRDefault="00405295" w:rsidP="00405295">
      <w:pPr>
        <w:rPr>
          <w:rFonts w:ascii="Source Sans Pro" w:hAnsi="Source Sans Pro"/>
        </w:rPr>
      </w:pPr>
      <w:r w:rsidRPr="00405295">
        <w:rPr>
          <w:rFonts w:ascii="Source Sans Pro" w:hAnsi="Source Sans Pro"/>
        </w:rPr>
        <w:t xml:space="preserve">Only those candidates meeting the criteria outlined in the person specification will be short listed. All short-listed candidates will be subject to an online search as part of our safer recruitment due diligence. </w:t>
      </w:r>
    </w:p>
    <w:p w14:paraId="7B192713" w14:textId="77777777" w:rsidR="00D41C6B" w:rsidRPr="00405295" w:rsidRDefault="00D41C6B" w:rsidP="00405295">
      <w:pPr>
        <w:rPr>
          <w:rFonts w:ascii="Source Sans Pro" w:hAnsi="Source Sans Pro"/>
        </w:rPr>
      </w:pPr>
    </w:p>
    <w:p w14:paraId="18715591" w14:textId="47CBB32E" w:rsidR="00D41C6B" w:rsidRPr="00B020F8" w:rsidRDefault="00405295" w:rsidP="009F253C">
      <w:pPr>
        <w:pStyle w:val="Heading5"/>
        <w:rPr>
          <w:color w:val="028483"/>
        </w:rPr>
      </w:pPr>
      <w:r w:rsidRPr="00B020F8">
        <w:rPr>
          <w:rFonts w:ascii="Source Sans Pro" w:hAnsi="Source Sans Pro"/>
          <w:color w:val="028483"/>
        </w:rPr>
        <w:t xml:space="preserve">Interview </w:t>
      </w:r>
    </w:p>
    <w:p w14:paraId="6927F345" w14:textId="77777777" w:rsidR="00405295" w:rsidRDefault="00405295" w:rsidP="00405295">
      <w:pPr>
        <w:rPr>
          <w:rFonts w:ascii="Source Sans Pro" w:hAnsi="Source Sans Pro"/>
        </w:rPr>
      </w:pPr>
      <w:r w:rsidRPr="00405295">
        <w:rPr>
          <w:rFonts w:ascii="Source Sans Pro" w:hAnsi="Source Sans Pro"/>
        </w:rPr>
        <w:t xml:space="preserve">Shortlisted candidates will take part in an interview and selection process. Candidates will be asked to address any discrepancies or gaps in their employment history. Candidates will be reminded of their responsibility to disclose any criminal convictions if they have </w:t>
      </w:r>
      <w:r w:rsidRPr="00405295">
        <w:rPr>
          <w:rFonts w:ascii="Source Sans Pro" w:hAnsi="Source Sans Pro"/>
        </w:rPr>
        <w:lastRenderedPageBreak/>
        <w:t>not already done so. Proof of identity, qualifications and right to work in the UK must also be provided at interview.</w:t>
      </w:r>
    </w:p>
    <w:p w14:paraId="5A68FF8E" w14:textId="77777777" w:rsidR="00D41C6B" w:rsidRPr="00405295" w:rsidRDefault="00D41C6B" w:rsidP="00405295">
      <w:pPr>
        <w:rPr>
          <w:rFonts w:ascii="Source Sans Pro" w:hAnsi="Source Sans Pro"/>
        </w:rPr>
      </w:pPr>
    </w:p>
    <w:p w14:paraId="4A83AB1A" w14:textId="60F749C5" w:rsidR="00D41C6B" w:rsidRPr="00B020F8" w:rsidRDefault="00405295" w:rsidP="009F253C">
      <w:pPr>
        <w:pStyle w:val="Heading5"/>
        <w:rPr>
          <w:color w:val="028483"/>
        </w:rPr>
      </w:pPr>
      <w:r w:rsidRPr="00B020F8">
        <w:rPr>
          <w:rFonts w:ascii="Source Sans Pro" w:hAnsi="Source Sans Pro"/>
          <w:color w:val="028483"/>
        </w:rPr>
        <w:t xml:space="preserve">Appointment </w:t>
      </w:r>
    </w:p>
    <w:p w14:paraId="4204B3FC" w14:textId="77777777" w:rsidR="00405295" w:rsidRDefault="00405295" w:rsidP="00405295">
      <w:pPr>
        <w:rPr>
          <w:rFonts w:ascii="Source Sans Pro" w:hAnsi="Source Sans Pro"/>
        </w:rPr>
      </w:pPr>
      <w:r w:rsidRPr="00405295">
        <w:rPr>
          <w:rFonts w:ascii="Source Sans Pro" w:hAnsi="Source Sans Pro"/>
        </w:rPr>
        <w:t>An enhanced Disclosure and Barring Service Certificate (DBS) will be required for all appointed posts. Other pre-employment compliance checks will be carried out. This post is subject to satisfactory references which will be requested prior to interview, an enhanced Disclosure and Barring Service (DBS) check, online searches, medical check, evidence of qualifications plus verification of the right to work in the UK. For teaching positions, barred list checks and prohibition from teaching checks will also be carried out. For leadership positions, section 128 checks will be performed. All staff will receive a</w:t>
      </w:r>
      <w:r w:rsidRPr="00405295">
        <w:rPr>
          <w:rFonts w:ascii="Source Sans Pro" w:hAnsi="Source Sans Pro" w:cs="Source Sans Pro"/>
          <w:color w:val="000000"/>
          <w:sz w:val="23"/>
          <w:szCs w:val="23"/>
        </w:rPr>
        <w:t xml:space="preserve"> </w:t>
      </w:r>
      <w:r w:rsidRPr="00405295">
        <w:rPr>
          <w:rFonts w:ascii="Source Sans Pro" w:hAnsi="Source Sans Pro"/>
        </w:rPr>
        <w:t xml:space="preserve">comprehensive induction programme covering all aspects of safeguarding and health and safety. </w:t>
      </w:r>
    </w:p>
    <w:p w14:paraId="3B606313" w14:textId="77777777" w:rsidR="00D41C6B" w:rsidRPr="00405295" w:rsidRDefault="00D41C6B" w:rsidP="00405295">
      <w:pPr>
        <w:rPr>
          <w:rFonts w:ascii="Source Sans Pro" w:hAnsi="Source Sans Pro"/>
        </w:rPr>
      </w:pPr>
    </w:p>
    <w:p w14:paraId="69F68538" w14:textId="30C4E5DD" w:rsidR="00D41C6B" w:rsidRPr="00D41C6B" w:rsidRDefault="00405295" w:rsidP="009F253C">
      <w:pPr>
        <w:pStyle w:val="Heading5"/>
      </w:pPr>
      <w:r w:rsidRPr="00B020F8">
        <w:rPr>
          <w:rFonts w:ascii="Source Sans Pro" w:hAnsi="Source Sans Pro"/>
          <w:color w:val="028483"/>
        </w:rPr>
        <w:t>Probation</w:t>
      </w:r>
      <w:r w:rsidRPr="00405295">
        <w:rPr>
          <w:rFonts w:ascii="Source Sans Pro" w:hAnsi="Source Sans Pro"/>
        </w:rPr>
        <w:t xml:space="preserve"> </w:t>
      </w:r>
    </w:p>
    <w:p w14:paraId="5A37008D" w14:textId="77777777" w:rsidR="00405295" w:rsidRPr="00405295" w:rsidRDefault="00405295" w:rsidP="00405295">
      <w:pPr>
        <w:rPr>
          <w:rFonts w:ascii="Source Sans Pro" w:hAnsi="Source Sans Pro"/>
        </w:rPr>
      </w:pPr>
      <w:r w:rsidRPr="00405295">
        <w:rPr>
          <w:rFonts w:ascii="Source Sans Pro" w:hAnsi="Source Sans Pro"/>
        </w:rPr>
        <w:t xml:space="preserve">All new staff will be subject to the trust probation procedures for a period of 6 months. The probation period is to enable the assessment of an employee’s suitability for the job and which includes a review of the performance of new staff in relation to duties, skills, qualifications and experience outlined in the job description and person specification. </w:t>
      </w:r>
    </w:p>
    <w:p w14:paraId="0B1CFDC3" w14:textId="77777777" w:rsidR="00405295" w:rsidRDefault="00405295" w:rsidP="00405295">
      <w:pPr>
        <w:rPr>
          <w:rFonts w:ascii="Source Sans Pro" w:hAnsi="Source Sans Pro"/>
        </w:rPr>
      </w:pPr>
      <w:r w:rsidRPr="00405295">
        <w:rPr>
          <w:rFonts w:ascii="Source Sans Pro" w:hAnsi="Source Sans Pro"/>
        </w:rPr>
        <w:t xml:space="preserve">This will also include an employee’s suitability to work with children and young people and their commitment to safeguarding and child protection. </w:t>
      </w:r>
    </w:p>
    <w:p w14:paraId="08683C9C" w14:textId="77777777" w:rsidR="00D41C6B" w:rsidRPr="00405295" w:rsidRDefault="00D41C6B" w:rsidP="00405295">
      <w:pPr>
        <w:rPr>
          <w:rFonts w:ascii="Source Sans Pro" w:hAnsi="Source Sans Pro"/>
        </w:rPr>
      </w:pPr>
    </w:p>
    <w:p w14:paraId="24CD1D88" w14:textId="4FB78E5C" w:rsidR="00D41C6B" w:rsidRPr="00B020F8" w:rsidRDefault="00405295" w:rsidP="009F253C">
      <w:pPr>
        <w:pStyle w:val="Heading5"/>
        <w:rPr>
          <w:color w:val="028483"/>
        </w:rPr>
      </w:pPr>
      <w:r w:rsidRPr="00B020F8">
        <w:rPr>
          <w:rFonts w:ascii="Source Sans Pro" w:hAnsi="Source Sans Pro"/>
          <w:color w:val="028483"/>
        </w:rPr>
        <w:t xml:space="preserve">Equal Opportunities </w:t>
      </w:r>
    </w:p>
    <w:p w14:paraId="17C76081" w14:textId="77777777" w:rsidR="00405295" w:rsidRDefault="00405295" w:rsidP="00405295">
      <w:pPr>
        <w:rPr>
          <w:rFonts w:ascii="Source Sans Pro" w:hAnsi="Source Sans Pro"/>
        </w:rPr>
      </w:pPr>
      <w:r w:rsidRPr="00405295">
        <w:rPr>
          <w:rFonts w:ascii="Source Sans Pro" w:hAnsi="Source Sans Pro"/>
        </w:rPr>
        <w:t xml:space="preserve">OLA recognises the value of, and seeks to achieve, a diverse workforce and takes positive steps to create an employment culture in which people feel confident of being treated with fairness, dignity and respect, irrespective of their differences. The Trust is committed to the elimination of unlawful discrimination and to the promotion of good relations between all. </w:t>
      </w:r>
    </w:p>
    <w:p w14:paraId="05B625A0" w14:textId="77777777" w:rsidR="00D41C6B" w:rsidRPr="00405295" w:rsidRDefault="00D41C6B" w:rsidP="00405295">
      <w:pPr>
        <w:rPr>
          <w:rFonts w:ascii="Source Sans Pro" w:hAnsi="Source Sans Pro"/>
        </w:rPr>
      </w:pPr>
    </w:p>
    <w:p w14:paraId="55E4B5AB" w14:textId="755E714F" w:rsidR="00D41C6B" w:rsidRPr="00B020F8" w:rsidRDefault="00405295" w:rsidP="009F253C">
      <w:pPr>
        <w:pStyle w:val="Heading5"/>
        <w:rPr>
          <w:color w:val="028483"/>
        </w:rPr>
      </w:pPr>
      <w:r w:rsidRPr="00B020F8">
        <w:rPr>
          <w:rFonts w:ascii="Source Sans Pro" w:hAnsi="Source Sans Pro"/>
          <w:color w:val="028483"/>
        </w:rPr>
        <w:t xml:space="preserve">General Data Protection Regulation </w:t>
      </w:r>
    </w:p>
    <w:p w14:paraId="34A1DFEA" w14:textId="77777777" w:rsidR="00405295" w:rsidRPr="00405295" w:rsidRDefault="00405295" w:rsidP="00405295">
      <w:pPr>
        <w:rPr>
          <w:rFonts w:ascii="Source Sans Pro" w:hAnsi="Source Sans Pro"/>
        </w:rPr>
      </w:pPr>
      <w:r w:rsidRPr="00405295">
        <w:rPr>
          <w:rFonts w:ascii="Source Sans Pro" w:hAnsi="Source Sans Pro"/>
        </w:rPr>
        <w:t>OLA is committed to ensuring that the privacy of an individual is protected. By signing a contract of employment, the employee is agreeing to the Trust processing their personal data, including ‘sensitive personal data’ as defined in the General Data Protection Regulation (GDPR), for the purposes of the operation, management, security and/or administrations, as well as complying with applicable laws, regulations and procedures. The information you provide (except Equality Monitoring Information) may be shared with partner organisations that provide services to the Trust. A full list of these organisations is available on request from the CFO.</w:t>
      </w:r>
    </w:p>
    <w:p w14:paraId="51C4A325" w14:textId="330EB189" w:rsidR="00255B56" w:rsidRPr="00721008" w:rsidRDefault="00255B56" w:rsidP="00405295">
      <w:pPr>
        <w:rPr>
          <w:rFonts w:ascii="Source Sans Pro" w:hAnsi="Source Sans Pro"/>
          <w:sz w:val="22"/>
          <w:szCs w:val="22"/>
        </w:rPr>
      </w:pPr>
    </w:p>
    <w:sectPr w:rsidR="00255B56" w:rsidRPr="00721008" w:rsidSect="008174CF">
      <w:headerReference w:type="default" r:id="rId13"/>
      <w:footerReference w:type="defaul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0838" w14:textId="77777777" w:rsidR="00233A3C" w:rsidRDefault="00233A3C" w:rsidP="00251CC2">
      <w:r>
        <w:separator/>
      </w:r>
    </w:p>
  </w:endnote>
  <w:endnote w:type="continuationSeparator" w:id="0">
    <w:p w14:paraId="2661BD51" w14:textId="77777777" w:rsidR="00233A3C" w:rsidRDefault="00233A3C" w:rsidP="0025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338979"/>
      <w:docPartObj>
        <w:docPartGallery w:val="Page Numbers (Bottom of Page)"/>
        <w:docPartUnique/>
      </w:docPartObj>
    </w:sdtPr>
    <w:sdtEndPr>
      <w:rPr>
        <w:color w:val="7F7F7F" w:themeColor="background1" w:themeShade="7F"/>
        <w:spacing w:val="60"/>
      </w:rPr>
    </w:sdtEndPr>
    <w:sdtContent>
      <w:p w14:paraId="55C3488A" w14:textId="77777777" w:rsidR="00251CC2" w:rsidRDefault="00251CC2">
        <w:pPr>
          <w:pStyle w:val="Footer"/>
          <w:pBdr>
            <w:top w:val="single" w:sz="4" w:space="1" w:color="D9D9D9" w:themeColor="background1" w:themeShade="D9"/>
          </w:pBdr>
          <w:rPr>
            <w:b/>
            <w:bCs/>
          </w:rPr>
        </w:pPr>
        <w:r>
          <w:rPr>
            <w:noProof/>
          </w:rPr>
          <w:drawing>
            <wp:anchor distT="0" distB="0" distL="114300" distR="114300" simplePos="0" relativeHeight="251660288" behindDoc="1" locked="0" layoutInCell="1" allowOverlap="1" wp14:anchorId="20895221" wp14:editId="4F207469">
              <wp:simplePos x="0" y="0"/>
              <wp:positionH relativeFrom="page">
                <wp:align>left</wp:align>
              </wp:positionH>
              <wp:positionV relativeFrom="paragraph">
                <wp:posOffset>234315</wp:posOffset>
              </wp:positionV>
              <wp:extent cx="7527011" cy="609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rchard Learning Alliance FINAL Leaves Mono.jpg"/>
                      <pic:cNvPicPr/>
                    </pic:nvPicPr>
                    <pic:blipFill>
                      <a:blip r:embed="rId1">
                        <a:extLst>
                          <a:ext uri="{28A0092B-C50C-407E-A947-70E740481C1C}">
                            <a14:useLocalDpi xmlns:a14="http://schemas.microsoft.com/office/drawing/2010/main" val="0"/>
                          </a:ext>
                        </a:extLst>
                      </a:blip>
                      <a:stretch>
                        <a:fillRect/>
                      </a:stretch>
                    </pic:blipFill>
                    <pic:spPr>
                      <a:xfrm>
                        <a:off x="0" y="0"/>
                        <a:ext cx="7527011" cy="6096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FC2A6AE" w14:textId="77777777" w:rsidR="00251CC2" w:rsidRDefault="00251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41EF" w14:textId="77777777" w:rsidR="00251CC2" w:rsidRDefault="00251CC2">
    <w:pPr>
      <w:pStyle w:val="Footer"/>
    </w:pPr>
    <w:r>
      <w:rPr>
        <w:noProof/>
      </w:rPr>
      <w:drawing>
        <wp:anchor distT="0" distB="0" distL="114300" distR="114300" simplePos="0" relativeHeight="251659264" behindDoc="1" locked="0" layoutInCell="1" allowOverlap="1" wp14:anchorId="2B1EB15E" wp14:editId="53873917">
          <wp:simplePos x="0" y="0"/>
          <wp:positionH relativeFrom="page">
            <wp:align>left</wp:align>
          </wp:positionH>
          <wp:positionV relativeFrom="paragraph">
            <wp:posOffset>176530</wp:posOffset>
          </wp:positionV>
          <wp:extent cx="7527011" cy="60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hard Learning Alliance FINAL Leaves Colour.jpg"/>
                  <pic:cNvPicPr/>
                </pic:nvPicPr>
                <pic:blipFill>
                  <a:blip r:embed="rId1">
                    <a:extLst>
                      <a:ext uri="{28A0092B-C50C-407E-A947-70E740481C1C}">
                        <a14:useLocalDpi xmlns:a14="http://schemas.microsoft.com/office/drawing/2010/main" val="0"/>
                      </a:ext>
                    </a:extLst>
                  </a:blip>
                  <a:stretch>
                    <a:fillRect/>
                  </a:stretch>
                </pic:blipFill>
                <pic:spPr>
                  <a:xfrm>
                    <a:off x="0" y="0"/>
                    <a:ext cx="7527011" cy="609600"/>
                  </a:xfrm>
                  <a:prstGeom prst="rect">
                    <a:avLst/>
                  </a:prstGeom>
                </pic:spPr>
              </pic:pic>
            </a:graphicData>
          </a:graphic>
          <wp14:sizeRelH relativeFrom="page">
            <wp14:pctWidth>0</wp14:pctWidth>
          </wp14:sizeRelH>
          <wp14:sizeRelV relativeFrom="page">
            <wp14:pctHeight>0</wp14:pctHeight>
          </wp14:sizeRelV>
        </wp:anchor>
      </w:drawing>
    </w:r>
  </w:p>
  <w:p w14:paraId="4BB95A52" w14:textId="77777777" w:rsidR="00251CC2" w:rsidRDefault="00251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20E7" w14:textId="77777777" w:rsidR="00233A3C" w:rsidRDefault="00233A3C" w:rsidP="00251CC2">
      <w:r>
        <w:separator/>
      </w:r>
    </w:p>
  </w:footnote>
  <w:footnote w:type="continuationSeparator" w:id="0">
    <w:p w14:paraId="789A12A8" w14:textId="77777777" w:rsidR="00233A3C" w:rsidRDefault="00233A3C" w:rsidP="0025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63DA" w14:textId="77777777" w:rsidR="00251CC2" w:rsidRPr="00251CC2" w:rsidRDefault="00251CC2" w:rsidP="001D1E5B">
    <w:pPr>
      <w:pStyle w:val="Header"/>
      <w:jc w:val="right"/>
      <w:rPr>
        <w:rFonts w:ascii="Source Sans Pro" w:hAnsi="Source Sans Pro"/>
        <w:b/>
        <w:bCs/>
      </w:rPr>
    </w:pPr>
    <w:r w:rsidRPr="00251CC2">
      <w:rPr>
        <w:rFonts w:ascii="Source Sans Pro" w:hAnsi="Source Sans Pro"/>
        <w:b/>
        <w:bCs/>
      </w:rPr>
      <w:t>ORCHARD LEARNING ALLIANCE</w:t>
    </w:r>
  </w:p>
  <w:p w14:paraId="36298CAB" w14:textId="504D2159" w:rsidR="00251CC2" w:rsidRDefault="00707FBD">
    <w:pPr>
      <w:pStyle w:val="Header"/>
    </w:pPr>
    <w:r>
      <w:rPr>
        <w:rFonts w:ascii="Source Sans Pro" w:hAnsi="Source Sans Pro"/>
        <w:b/>
        <w:bCs/>
      </w:rPr>
      <w:tab/>
      <w:t xml:space="preserve">                                                            </w:t>
    </w:r>
    <w:r w:rsidR="0070045E">
      <w:rPr>
        <w:rFonts w:ascii="Source Sans Pro" w:hAnsi="Source Sans Pro"/>
        <w:b/>
        <w:bCs/>
      </w:rPr>
      <w:t xml:space="preserve"> </w:t>
    </w:r>
    <w:r w:rsidR="00C32033">
      <w:rPr>
        <w:rFonts w:ascii="Source Sans Pro" w:hAnsi="Source Sans Pro"/>
        <w:b/>
        <w:bCs/>
      </w:rPr>
      <w:t xml:space="preserve">                                                  </w:t>
    </w:r>
    <w:r w:rsidR="0067722C">
      <w:rPr>
        <w:rFonts w:ascii="Source Sans Pro" w:hAnsi="Source Sans Pro"/>
        <w:b/>
        <w:bCs/>
      </w:rPr>
      <w:t>Associate Governance Prof</w:t>
    </w:r>
    <w:r w:rsidR="00C32033">
      <w:rPr>
        <w:rFonts w:ascii="Source Sans Pro" w:hAnsi="Source Sans Pro"/>
        <w:b/>
        <w:bCs/>
      </w:rPr>
      <w:t>essional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AA1"/>
    <w:multiLevelType w:val="hybridMultilevel"/>
    <w:tmpl w:val="A1140218"/>
    <w:lvl w:ilvl="0" w:tplc="D05CDD02">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0764A"/>
    <w:multiLevelType w:val="hybridMultilevel"/>
    <w:tmpl w:val="CF7A27DC"/>
    <w:lvl w:ilvl="0" w:tplc="274E3F22">
      <w:numFmt w:val="bullet"/>
      <w:lvlText w:val="•"/>
      <w:lvlJc w:val="left"/>
      <w:pPr>
        <w:ind w:left="360" w:hanging="360"/>
      </w:pPr>
      <w:rPr>
        <w:rFonts w:ascii="Source Sans Pro" w:eastAsia="MS Mincho" w:hAnsi="Source Sans Pr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0B3327"/>
    <w:multiLevelType w:val="multilevel"/>
    <w:tmpl w:val="5246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06D2D"/>
    <w:multiLevelType w:val="hybridMultilevel"/>
    <w:tmpl w:val="BBB49CE4"/>
    <w:lvl w:ilvl="0" w:tplc="274E3F22">
      <w:numFmt w:val="bullet"/>
      <w:lvlText w:val="•"/>
      <w:lvlJc w:val="left"/>
      <w:pPr>
        <w:ind w:left="720" w:hanging="360"/>
      </w:pPr>
      <w:rPr>
        <w:rFonts w:ascii="Source Sans Pro" w:eastAsia="MS Mincho"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623F6"/>
    <w:multiLevelType w:val="hybridMultilevel"/>
    <w:tmpl w:val="960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00CDA"/>
    <w:multiLevelType w:val="hybridMultilevel"/>
    <w:tmpl w:val="AE2A24FC"/>
    <w:lvl w:ilvl="0" w:tplc="274E3F22">
      <w:numFmt w:val="bullet"/>
      <w:lvlText w:val="•"/>
      <w:lvlJc w:val="left"/>
      <w:pPr>
        <w:ind w:left="720" w:hanging="360"/>
      </w:pPr>
      <w:rPr>
        <w:rFonts w:ascii="Source Sans Pro" w:eastAsia="MS Mincho" w:hAnsi="Source Sans Pro"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0564C1"/>
    <w:multiLevelType w:val="hybridMultilevel"/>
    <w:tmpl w:val="2602A250"/>
    <w:lvl w:ilvl="0" w:tplc="274E3F22">
      <w:numFmt w:val="bullet"/>
      <w:lvlText w:val="•"/>
      <w:lvlJc w:val="left"/>
      <w:pPr>
        <w:ind w:left="360" w:hanging="360"/>
      </w:pPr>
      <w:rPr>
        <w:rFonts w:ascii="Source Sans Pro" w:eastAsia="MS Mincho" w:hAnsi="Source Sans Pr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C1561D"/>
    <w:multiLevelType w:val="hybridMultilevel"/>
    <w:tmpl w:val="A9AA82EC"/>
    <w:lvl w:ilvl="0" w:tplc="D05CDD02">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467E0"/>
    <w:multiLevelType w:val="multilevel"/>
    <w:tmpl w:val="8030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B3EFC"/>
    <w:multiLevelType w:val="hybridMultilevel"/>
    <w:tmpl w:val="E2846802"/>
    <w:lvl w:ilvl="0" w:tplc="274E3F22">
      <w:numFmt w:val="bullet"/>
      <w:lvlText w:val="•"/>
      <w:lvlJc w:val="left"/>
      <w:pPr>
        <w:ind w:left="720" w:hanging="360"/>
      </w:pPr>
      <w:rPr>
        <w:rFonts w:ascii="Source Sans Pro" w:eastAsia="MS Mincho"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D48CA"/>
    <w:multiLevelType w:val="multilevel"/>
    <w:tmpl w:val="4AA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E3B53"/>
    <w:multiLevelType w:val="multilevel"/>
    <w:tmpl w:val="338E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16487"/>
    <w:multiLevelType w:val="multilevel"/>
    <w:tmpl w:val="AEB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15681E"/>
    <w:multiLevelType w:val="multilevel"/>
    <w:tmpl w:val="3524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783494"/>
    <w:multiLevelType w:val="hybridMultilevel"/>
    <w:tmpl w:val="5978B0EA"/>
    <w:lvl w:ilvl="0" w:tplc="D05CDD02">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4973A9"/>
    <w:multiLevelType w:val="multilevel"/>
    <w:tmpl w:val="C8B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D563C"/>
    <w:multiLevelType w:val="hybridMultilevel"/>
    <w:tmpl w:val="7E5858F0"/>
    <w:lvl w:ilvl="0" w:tplc="274E3F22">
      <w:numFmt w:val="bullet"/>
      <w:lvlText w:val="•"/>
      <w:lvlJc w:val="left"/>
      <w:pPr>
        <w:ind w:left="360" w:hanging="360"/>
      </w:pPr>
      <w:rPr>
        <w:rFonts w:ascii="Source Sans Pro" w:eastAsia="MS Mincho" w:hAnsi="Source Sans Pro"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975CA6"/>
    <w:multiLevelType w:val="hybridMultilevel"/>
    <w:tmpl w:val="1EE2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726437">
    <w:abstractNumId w:val="3"/>
  </w:num>
  <w:num w:numId="2" w16cid:durableId="1523319609">
    <w:abstractNumId w:val="9"/>
  </w:num>
  <w:num w:numId="3" w16cid:durableId="1880631560">
    <w:abstractNumId w:val="16"/>
  </w:num>
  <w:num w:numId="4" w16cid:durableId="1425806728">
    <w:abstractNumId w:val="6"/>
  </w:num>
  <w:num w:numId="5" w16cid:durableId="1879195218">
    <w:abstractNumId w:val="1"/>
  </w:num>
  <w:num w:numId="6" w16cid:durableId="665596312">
    <w:abstractNumId w:val="5"/>
  </w:num>
  <w:num w:numId="7" w16cid:durableId="1522669979">
    <w:abstractNumId w:val="17"/>
  </w:num>
  <w:num w:numId="8" w16cid:durableId="937296182">
    <w:abstractNumId w:val="4"/>
  </w:num>
  <w:num w:numId="9" w16cid:durableId="1223641817">
    <w:abstractNumId w:val="8"/>
  </w:num>
  <w:num w:numId="10" w16cid:durableId="1920094448">
    <w:abstractNumId w:val="15"/>
  </w:num>
  <w:num w:numId="11" w16cid:durableId="674843020">
    <w:abstractNumId w:val="12"/>
  </w:num>
  <w:num w:numId="12" w16cid:durableId="243226811">
    <w:abstractNumId w:val="11"/>
  </w:num>
  <w:num w:numId="13" w16cid:durableId="928269740">
    <w:abstractNumId w:val="13"/>
  </w:num>
  <w:num w:numId="14" w16cid:durableId="1944915776">
    <w:abstractNumId w:val="2"/>
  </w:num>
  <w:num w:numId="15" w16cid:durableId="830604973">
    <w:abstractNumId w:val="10"/>
  </w:num>
  <w:num w:numId="16" w16cid:durableId="610430558">
    <w:abstractNumId w:val="14"/>
  </w:num>
  <w:num w:numId="17" w16cid:durableId="1720857223">
    <w:abstractNumId w:val="7"/>
  </w:num>
  <w:num w:numId="18" w16cid:durableId="1361785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CF"/>
    <w:rsid w:val="000016F2"/>
    <w:rsid w:val="000034F1"/>
    <w:rsid w:val="0004020D"/>
    <w:rsid w:val="0004246B"/>
    <w:rsid w:val="00042BB1"/>
    <w:rsid w:val="00047C52"/>
    <w:rsid w:val="00061428"/>
    <w:rsid w:val="000C4F30"/>
    <w:rsid w:val="000C6FF6"/>
    <w:rsid w:val="000E2BAD"/>
    <w:rsid w:val="00112647"/>
    <w:rsid w:val="00172026"/>
    <w:rsid w:val="00180EA8"/>
    <w:rsid w:val="00180FF3"/>
    <w:rsid w:val="00187211"/>
    <w:rsid w:val="00190C0B"/>
    <w:rsid w:val="001B4ACE"/>
    <w:rsid w:val="001D031B"/>
    <w:rsid w:val="001D322C"/>
    <w:rsid w:val="001D50D1"/>
    <w:rsid w:val="001F2C47"/>
    <w:rsid w:val="00224DCB"/>
    <w:rsid w:val="00233A3C"/>
    <w:rsid w:val="002377F6"/>
    <w:rsid w:val="002427D3"/>
    <w:rsid w:val="00251CC2"/>
    <w:rsid w:val="00255B56"/>
    <w:rsid w:val="002669B8"/>
    <w:rsid w:val="002C367A"/>
    <w:rsid w:val="002E545F"/>
    <w:rsid w:val="003066A5"/>
    <w:rsid w:val="00323270"/>
    <w:rsid w:val="00334379"/>
    <w:rsid w:val="00345D25"/>
    <w:rsid w:val="0037049F"/>
    <w:rsid w:val="00371013"/>
    <w:rsid w:val="003921C7"/>
    <w:rsid w:val="00394C35"/>
    <w:rsid w:val="003D419C"/>
    <w:rsid w:val="003D65E5"/>
    <w:rsid w:val="003F78E4"/>
    <w:rsid w:val="00405295"/>
    <w:rsid w:val="00414145"/>
    <w:rsid w:val="00417C09"/>
    <w:rsid w:val="0043102F"/>
    <w:rsid w:val="004330D5"/>
    <w:rsid w:val="0045209B"/>
    <w:rsid w:val="004A0AB7"/>
    <w:rsid w:val="004B7CD5"/>
    <w:rsid w:val="004D1371"/>
    <w:rsid w:val="004E34B2"/>
    <w:rsid w:val="0052320B"/>
    <w:rsid w:val="00566FD7"/>
    <w:rsid w:val="00582286"/>
    <w:rsid w:val="005D7B94"/>
    <w:rsid w:val="005E07AC"/>
    <w:rsid w:val="0067722C"/>
    <w:rsid w:val="006A138E"/>
    <w:rsid w:val="006C7147"/>
    <w:rsid w:val="006D29DA"/>
    <w:rsid w:val="0070045E"/>
    <w:rsid w:val="00707FBD"/>
    <w:rsid w:val="00721008"/>
    <w:rsid w:val="00776CF0"/>
    <w:rsid w:val="00811127"/>
    <w:rsid w:val="008174CF"/>
    <w:rsid w:val="00843274"/>
    <w:rsid w:val="0087786A"/>
    <w:rsid w:val="00880856"/>
    <w:rsid w:val="0089226F"/>
    <w:rsid w:val="009107CE"/>
    <w:rsid w:val="009851D0"/>
    <w:rsid w:val="009B44E9"/>
    <w:rsid w:val="009F253C"/>
    <w:rsid w:val="009F44DC"/>
    <w:rsid w:val="009F6C17"/>
    <w:rsid w:val="00A12228"/>
    <w:rsid w:val="00A27225"/>
    <w:rsid w:val="00A30753"/>
    <w:rsid w:val="00A460CA"/>
    <w:rsid w:val="00A6588F"/>
    <w:rsid w:val="00A752A2"/>
    <w:rsid w:val="00AA4353"/>
    <w:rsid w:val="00AC6889"/>
    <w:rsid w:val="00AF284C"/>
    <w:rsid w:val="00B020F8"/>
    <w:rsid w:val="00B10B81"/>
    <w:rsid w:val="00B45CA2"/>
    <w:rsid w:val="00B70390"/>
    <w:rsid w:val="00B8676B"/>
    <w:rsid w:val="00BB36EE"/>
    <w:rsid w:val="00BC3BE1"/>
    <w:rsid w:val="00C10C58"/>
    <w:rsid w:val="00C239A5"/>
    <w:rsid w:val="00C32033"/>
    <w:rsid w:val="00C402DC"/>
    <w:rsid w:val="00C40DD2"/>
    <w:rsid w:val="00C94B60"/>
    <w:rsid w:val="00CA4649"/>
    <w:rsid w:val="00CC1064"/>
    <w:rsid w:val="00CF40A2"/>
    <w:rsid w:val="00D00D50"/>
    <w:rsid w:val="00D31A37"/>
    <w:rsid w:val="00D41C6B"/>
    <w:rsid w:val="00D53886"/>
    <w:rsid w:val="00D54AC7"/>
    <w:rsid w:val="00DC31BD"/>
    <w:rsid w:val="00E00C5F"/>
    <w:rsid w:val="00F01BF1"/>
    <w:rsid w:val="00F16FAF"/>
    <w:rsid w:val="00F336E5"/>
    <w:rsid w:val="00F35B65"/>
    <w:rsid w:val="00F7260B"/>
    <w:rsid w:val="00F924FA"/>
    <w:rsid w:val="00FB0048"/>
    <w:rsid w:val="00FB0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3AF1"/>
  <w15:chartTrackingRefBased/>
  <w15:docId w15:val="{7F83DDF2-D2B7-4D6E-9EDE-5C40E266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4C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17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7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4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4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174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4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4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4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4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4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74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4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4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174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4CF"/>
    <w:rPr>
      <w:rFonts w:eastAsiaTheme="majorEastAsia" w:cstheme="majorBidi"/>
      <w:color w:val="272727" w:themeColor="text1" w:themeTint="D8"/>
    </w:rPr>
  </w:style>
  <w:style w:type="paragraph" w:styleId="Title">
    <w:name w:val="Title"/>
    <w:basedOn w:val="Normal"/>
    <w:next w:val="Normal"/>
    <w:link w:val="TitleChar"/>
    <w:uiPriority w:val="10"/>
    <w:qFormat/>
    <w:rsid w:val="008174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4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4CF"/>
    <w:pPr>
      <w:spacing w:before="160"/>
      <w:jc w:val="center"/>
    </w:pPr>
    <w:rPr>
      <w:i/>
      <w:iCs/>
      <w:color w:val="404040" w:themeColor="text1" w:themeTint="BF"/>
    </w:rPr>
  </w:style>
  <w:style w:type="character" w:customStyle="1" w:styleId="QuoteChar">
    <w:name w:val="Quote Char"/>
    <w:basedOn w:val="DefaultParagraphFont"/>
    <w:link w:val="Quote"/>
    <w:uiPriority w:val="29"/>
    <w:rsid w:val="008174CF"/>
    <w:rPr>
      <w:i/>
      <w:iCs/>
      <w:color w:val="404040" w:themeColor="text1" w:themeTint="BF"/>
    </w:rPr>
  </w:style>
  <w:style w:type="paragraph" w:styleId="ListParagraph">
    <w:name w:val="List Paragraph"/>
    <w:basedOn w:val="Normal"/>
    <w:uiPriority w:val="34"/>
    <w:qFormat/>
    <w:rsid w:val="008174CF"/>
    <w:pPr>
      <w:ind w:left="720"/>
      <w:contextualSpacing/>
    </w:pPr>
  </w:style>
  <w:style w:type="character" w:styleId="IntenseEmphasis">
    <w:name w:val="Intense Emphasis"/>
    <w:basedOn w:val="DefaultParagraphFont"/>
    <w:uiPriority w:val="21"/>
    <w:qFormat/>
    <w:rsid w:val="008174CF"/>
    <w:rPr>
      <w:i/>
      <w:iCs/>
      <w:color w:val="0F4761" w:themeColor="accent1" w:themeShade="BF"/>
    </w:rPr>
  </w:style>
  <w:style w:type="paragraph" w:styleId="IntenseQuote">
    <w:name w:val="Intense Quote"/>
    <w:basedOn w:val="Normal"/>
    <w:next w:val="Normal"/>
    <w:link w:val="IntenseQuoteChar"/>
    <w:uiPriority w:val="30"/>
    <w:qFormat/>
    <w:rsid w:val="00817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4CF"/>
    <w:rPr>
      <w:i/>
      <w:iCs/>
      <w:color w:val="0F4761" w:themeColor="accent1" w:themeShade="BF"/>
    </w:rPr>
  </w:style>
  <w:style w:type="character" w:styleId="IntenseReference">
    <w:name w:val="Intense Reference"/>
    <w:basedOn w:val="DefaultParagraphFont"/>
    <w:uiPriority w:val="32"/>
    <w:qFormat/>
    <w:rsid w:val="008174CF"/>
    <w:rPr>
      <w:b/>
      <w:bCs/>
      <w:smallCaps/>
      <w:color w:val="0F4761" w:themeColor="accent1" w:themeShade="BF"/>
      <w:spacing w:val="5"/>
    </w:rPr>
  </w:style>
  <w:style w:type="table" w:styleId="TableGrid">
    <w:name w:val="Table Grid"/>
    <w:basedOn w:val="TableNormal"/>
    <w:uiPriority w:val="39"/>
    <w:rsid w:val="008174C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74CF"/>
    <w:pPr>
      <w:tabs>
        <w:tab w:val="center" w:pos="4513"/>
        <w:tab w:val="right" w:pos="9026"/>
      </w:tabs>
    </w:pPr>
  </w:style>
  <w:style w:type="character" w:customStyle="1" w:styleId="HeaderChar">
    <w:name w:val="Header Char"/>
    <w:basedOn w:val="DefaultParagraphFont"/>
    <w:link w:val="Header"/>
    <w:uiPriority w:val="99"/>
    <w:rsid w:val="008174CF"/>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8174CF"/>
    <w:pPr>
      <w:tabs>
        <w:tab w:val="center" w:pos="4513"/>
        <w:tab w:val="right" w:pos="9026"/>
      </w:tabs>
    </w:pPr>
  </w:style>
  <w:style w:type="character" w:customStyle="1" w:styleId="FooterChar">
    <w:name w:val="Footer Char"/>
    <w:basedOn w:val="DefaultParagraphFont"/>
    <w:link w:val="Footer"/>
    <w:uiPriority w:val="99"/>
    <w:rsid w:val="008174CF"/>
    <w:rPr>
      <w:rFonts w:ascii="Times New Roman" w:eastAsia="Times New Roman" w:hAnsi="Times New Roman" w:cs="Times New Roman"/>
      <w:kern w:val="0"/>
      <w:sz w:val="24"/>
      <w:szCs w:val="24"/>
      <w:lang w:eastAsia="en-GB"/>
      <w14:ligatures w14:val="none"/>
    </w:rPr>
  </w:style>
  <w:style w:type="paragraph" w:styleId="NoSpacing">
    <w:name w:val="No Spacing"/>
    <w:link w:val="NoSpacingChar"/>
    <w:uiPriority w:val="1"/>
    <w:qFormat/>
    <w:rsid w:val="008174CF"/>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8174CF"/>
    <w:rPr>
      <w:rFonts w:eastAsiaTheme="minorEastAsia"/>
      <w:kern w:val="0"/>
      <w:lang w:val="en-US"/>
      <w14:ligatures w14:val="none"/>
    </w:rPr>
  </w:style>
  <w:style w:type="paragraph" w:customStyle="1" w:styleId="1bodycopy10pt">
    <w:name w:val="1 body copy 10pt"/>
    <w:basedOn w:val="Normal"/>
    <w:link w:val="1bodycopy10ptChar"/>
    <w:qFormat/>
    <w:rsid w:val="008174CF"/>
    <w:pPr>
      <w:spacing w:after="120"/>
    </w:pPr>
    <w:rPr>
      <w:rFonts w:ascii="Arial" w:eastAsia="MS Mincho" w:hAnsi="Arial"/>
      <w:sz w:val="20"/>
      <w:lang w:val="en-US" w:eastAsia="en-US"/>
    </w:rPr>
  </w:style>
  <w:style w:type="character" w:customStyle="1" w:styleId="1bodycopy10ptChar">
    <w:name w:val="1 body copy 10pt Char"/>
    <w:link w:val="1bodycopy10pt"/>
    <w:rsid w:val="008174CF"/>
    <w:rPr>
      <w:rFonts w:ascii="Arial" w:eastAsia="MS Mincho" w:hAnsi="Arial" w:cs="Times New Roman"/>
      <w:kern w:val="0"/>
      <w:sz w:val="20"/>
      <w:szCs w:val="24"/>
      <w:lang w:val="en-US"/>
      <w14:ligatures w14:val="none"/>
    </w:rPr>
  </w:style>
  <w:style w:type="paragraph" w:customStyle="1" w:styleId="Text">
    <w:name w:val="Text"/>
    <w:basedOn w:val="BodyText"/>
    <w:link w:val="TextChar"/>
    <w:qFormat/>
    <w:rsid w:val="008174CF"/>
    <w:rPr>
      <w:rFonts w:ascii="Arial" w:eastAsia="MS Mincho" w:hAnsi="Arial" w:cs="Arial"/>
      <w:sz w:val="20"/>
      <w:szCs w:val="20"/>
      <w:lang w:val="en-US" w:eastAsia="en-US"/>
    </w:rPr>
  </w:style>
  <w:style w:type="character" w:customStyle="1" w:styleId="TextChar">
    <w:name w:val="Text Char"/>
    <w:link w:val="Text"/>
    <w:rsid w:val="008174CF"/>
    <w:rPr>
      <w:rFonts w:ascii="Arial" w:eastAsia="MS Mincho" w:hAnsi="Arial" w:cs="Arial"/>
      <w:kern w:val="0"/>
      <w:sz w:val="20"/>
      <w:szCs w:val="20"/>
      <w:lang w:val="en-US"/>
      <w14:ligatures w14:val="none"/>
    </w:rPr>
  </w:style>
  <w:style w:type="paragraph" w:customStyle="1" w:styleId="Subhead2">
    <w:name w:val="Subhead 2"/>
    <w:basedOn w:val="1bodycopy10pt"/>
    <w:next w:val="1bodycopy10pt"/>
    <w:link w:val="Subhead2Char"/>
    <w:qFormat/>
    <w:rsid w:val="008174CF"/>
    <w:pPr>
      <w:spacing w:before="120"/>
    </w:pPr>
    <w:rPr>
      <w:b/>
      <w:color w:val="12263F"/>
      <w:sz w:val="24"/>
    </w:rPr>
  </w:style>
  <w:style w:type="character" w:customStyle="1" w:styleId="Subhead2Char">
    <w:name w:val="Subhead 2 Char"/>
    <w:link w:val="Subhead2"/>
    <w:rsid w:val="008174CF"/>
    <w:rPr>
      <w:rFonts w:ascii="Arial" w:eastAsia="MS Mincho" w:hAnsi="Arial" w:cs="Times New Roman"/>
      <w:b/>
      <w:color w:val="12263F"/>
      <w:kern w:val="0"/>
      <w:sz w:val="24"/>
      <w:szCs w:val="24"/>
      <w:lang w:val="en-US"/>
      <w14:ligatures w14:val="none"/>
    </w:rPr>
  </w:style>
  <w:style w:type="paragraph" w:customStyle="1" w:styleId="Sub-heading">
    <w:name w:val="Sub-heading"/>
    <w:basedOn w:val="BodyText"/>
    <w:link w:val="Sub-headingChar"/>
    <w:qFormat/>
    <w:rsid w:val="008174CF"/>
    <w:rPr>
      <w:rFonts w:ascii="Arial" w:eastAsia="MS Mincho" w:hAnsi="Arial" w:cs="Arial"/>
      <w:b/>
      <w:sz w:val="20"/>
      <w:szCs w:val="20"/>
      <w:lang w:val="en-US" w:eastAsia="en-US"/>
    </w:rPr>
  </w:style>
  <w:style w:type="character" w:customStyle="1" w:styleId="Sub-headingChar">
    <w:name w:val="Sub-heading Char"/>
    <w:link w:val="Sub-heading"/>
    <w:rsid w:val="008174CF"/>
    <w:rPr>
      <w:rFonts w:ascii="Arial" w:eastAsia="MS Mincho" w:hAnsi="Arial" w:cs="Arial"/>
      <w:b/>
      <w:kern w:val="0"/>
      <w:sz w:val="20"/>
      <w:szCs w:val="20"/>
      <w:lang w:val="en-US"/>
      <w14:ligatures w14:val="none"/>
    </w:rPr>
  </w:style>
  <w:style w:type="paragraph" w:customStyle="1" w:styleId="1bodycopy">
    <w:name w:val="1 body copy"/>
    <w:basedOn w:val="Normal"/>
    <w:link w:val="1bodycopyChar"/>
    <w:qFormat/>
    <w:rsid w:val="008174CF"/>
    <w:pPr>
      <w:spacing w:after="120"/>
      <w:ind w:right="284"/>
    </w:pPr>
    <w:rPr>
      <w:rFonts w:ascii="Arial" w:eastAsia="MS Mincho" w:hAnsi="Arial"/>
      <w:sz w:val="20"/>
      <w:lang w:val="en-US" w:eastAsia="en-US"/>
    </w:rPr>
  </w:style>
  <w:style w:type="character" w:customStyle="1" w:styleId="1bodycopyChar">
    <w:name w:val="1 body copy Char"/>
    <w:link w:val="1bodycopy"/>
    <w:rsid w:val="008174CF"/>
    <w:rPr>
      <w:rFonts w:ascii="Arial" w:eastAsia="MS Mincho" w:hAnsi="Arial" w:cs="Times New Roman"/>
      <w:kern w:val="0"/>
      <w:sz w:val="20"/>
      <w:szCs w:val="24"/>
      <w:lang w:val="en-US"/>
      <w14:ligatures w14:val="none"/>
    </w:rPr>
  </w:style>
  <w:style w:type="paragraph" w:styleId="BodyText">
    <w:name w:val="Body Text"/>
    <w:basedOn w:val="Normal"/>
    <w:link w:val="BodyTextChar"/>
    <w:uiPriority w:val="99"/>
    <w:semiHidden/>
    <w:unhideWhenUsed/>
    <w:rsid w:val="008174CF"/>
    <w:pPr>
      <w:spacing w:after="120"/>
    </w:pPr>
  </w:style>
  <w:style w:type="character" w:customStyle="1" w:styleId="BodyTextChar">
    <w:name w:val="Body Text Char"/>
    <w:basedOn w:val="DefaultParagraphFont"/>
    <w:link w:val="BodyText"/>
    <w:uiPriority w:val="99"/>
    <w:semiHidden/>
    <w:rsid w:val="008174CF"/>
    <w:rPr>
      <w:rFonts w:ascii="Times New Roman" w:eastAsia="Times New Roman" w:hAnsi="Times New Roman" w:cs="Times New Roman"/>
      <w:kern w:val="0"/>
      <w:sz w:val="24"/>
      <w:szCs w:val="24"/>
      <w:lang w:eastAsia="en-GB"/>
      <w14:ligatures w14:val="none"/>
    </w:rPr>
  </w:style>
  <w:style w:type="paragraph" w:customStyle="1" w:styleId="Default">
    <w:name w:val="Default"/>
    <w:rsid w:val="00405295"/>
    <w:pPr>
      <w:autoSpaceDE w:val="0"/>
      <w:autoSpaceDN w:val="0"/>
      <w:adjustRightInd w:val="0"/>
      <w:spacing w:after="0" w:line="240" w:lineRule="auto"/>
    </w:pPr>
    <w:rPr>
      <w:rFonts w:ascii="Source Sans Pro" w:hAnsi="Source Sans Pro" w:cs="Source Sans 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11d747-9e24-4d2a-8935-7dcee9e8b4e9">
      <Terms xmlns="http://schemas.microsoft.com/office/infopath/2007/PartnerControls"/>
    </lcf76f155ced4ddcb4097134ff3c332f>
    <TaxCatchAll xmlns="840d38d6-9859-4841-ae67-d8da395249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D3074784B9B41B33F68BB7BCF1080" ma:contentTypeVersion="13" ma:contentTypeDescription="Create a new document." ma:contentTypeScope="" ma:versionID="57ec7a38301d3d8c5f9b1f6a64532c5a">
  <xsd:schema xmlns:xsd="http://www.w3.org/2001/XMLSchema" xmlns:xs="http://www.w3.org/2001/XMLSchema" xmlns:p="http://schemas.microsoft.com/office/2006/metadata/properties" xmlns:ns2="b311d747-9e24-4d2a-8935-7dcee9e8b4e9" xmlns:ns3="840d38d6-9859-4841-ae67-d8da3952490a" targetNamespace="http://schemas.microsoft.com/office/2006/metadata/properties" ma:root="true" ma:fieldsID="f42d15dbc3e0b1654ead09107eb1fb40" ns2:_="" ns3:_="">
    <xsd:import namespace="b311d747-9e24-4d2a-8935-7dcee9e8b4e9"/>
    <xsd:import namespace="840d38d6-9859-4841-ae67-d8da39524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1d747-9e24-4d2a-8935-7dcee9e8b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6c1ffc-f6fe-40b9-b0bd-4b39181cc3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d38d6-9859-4841-ae67-d8da39524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76dfed-e6ae-4dc0-a8b4-52a85e32891a}" ma:internalName="TaxCatchAll" ma:showField="CatchAllData" ma:web="840d38d6-9859-4841-ae67-d8da39524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69600-A0FE-4E2C-AAB8-7F742A825C04}">
  <ds:schemaRefs>
    <ds:schemaRef ds:uri="http://schemas.microsoft.com/office/2006/metadata/properties"/>
    <ds:schemaRef ds:uri="http://schemas.microsoft.com/office/infopath/2007/PartnerControls"/>
    <ds:schemaRef ds:uri="b311d747-9e24-4d2a-8935-7dcee9e8b4e9"/>
    <ds:schemaRef ds:uri="840d38d6-9859-4841-ae67-d8da3952490a"/>
  </ds:schemaRefs>
</ds:datastoreItem>
</file>

<file path=customXml/itemProps2.xml><?xml version="1.0" encoding="utf-8"?>
<ds:datastoreItem xmlns:ds="http://schemas.openxmlformats.org/officeDocument/2006/customXml" ds:itemID="{659308C9-9A69-4741-A46C-95736974CF39}">
  <ds:schemaRefs>
    <ds:schemaRef ds:uri="http://schemas.microsoft.com/sharepoint/v3/contenttype/forms"/>
  </ds:schemaRefs>
</ds:datastoreItem>
</file>

<file path=customXml/itemProps3.xml><?xml version="1.0" encoding="utf-8"?>
<ds:datastoreItem xmlns:ds="http://schemas.openxmlformats.org/officeDocument/2006/customXml" ds:itemID="{AD4168FF-7296-44BB-BC1B-052CE47A1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1d747-9e24-4d2a-8935-7dcee9e8b4e9"/>
    <ds:schemaRef ds:uri="840d38d6-9859-4841-ae67-d8da39524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10830</Characters>
  <Application>Microsoft Office Word</Application>
  <DocSecurity>0</DocSecurity>
  <Lines>416</Lines>
  <Paragraphs>170</Paragraphs>
  <ScaleCrop>false</ScaleCrop>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Williams</dc:creator>
  <cp:keywords/>
  <dc:description/>
  <cp:lastModifiedBy>Louise Cleaver</cp:lastModifiedBy>
  <cp:revision>13</cp:revision>
  <dcterms:created xsi:type="dcterms:W3CDTF">2026-06-09T12:45:00Z</dcterms:created>
  <dcterms:modified xsi:type="dcterms:W3CDTF">2026-06-09T13:18:00Z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0x010100E0BD3074784B9B41B33F68BB7BCF1080</vt:lpwstr>
  </property>
  <property fmtid="{D5CDD505-2E9C-101B-9397-08002B2CF9AE}" pid="3" name="MediaServiceImageTags">
    <vt:lpwstr/>
  </property>
</Properties>
</file>