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CB99" w14:textId="77777777" w:rsidR="00425D9F" w:rsidRPr="002C7B67" w:rsidRDefault="00600EB7" w:rsidP="00E90866">
      <w:pPr>
        <w:pStyle w:val="BodyText"/>
        <w:spacing w:after="0"/>
        <w:ind w:left="0"/>
        <w:outlineLvl w:val="0"/>
        <w:rPr>
          <w:rStyle w:val="Emphasis"/>
          <w:rFonts w:ascii="Muli" w:hAnsi="Muli" w:cs="Arial"/>
          <w:b/>
          <w:i w:val="0"/>
          <w:szCs w:val="22"/>
        </w:rPr>
      </w:pPr>
      <w:r>
        <w:rPr>
          <w:rFonts w:ascii="Muli" w:hAnsi="Muli" w:cs="Arial"/>
          <w:noProof/>
          <w:szCs w:val="22"/>
          <w:lang w:eastAsia="en-GB"/>
        </w:rPr>
        <w:drawing>
          <wp:anchor distT="36576" distB="36576" distL="36576" distR="36576" simplePos="0" relativeHeight="251659264" behindDoc="0" locked="0" layoutInCell="1" allowOverlap="1" wp14:anchorId="7C6DC6B7" wp14:editId="1A6D59A3">
            <wp:simplePos x="0" y="0"/>
            <wp:positionH relativeFrom="column">
              <wp:posOffset>-47626</wp:posOffset>
            </wp:positionH>
            <wp:positionV relativeFrom="paragraph">
              <wp:posOffset>-447676</wp:posOffset>
            </wp:positionV>
            <wp:extent cx="1095375" cy="1095375"/>
            <wp:effectExtent l="0" t="0" r="9525" b="9525"/>
            <wp:wrapNone/>
            <wp:docPr id="2" name="Picture 2" descr="Academy Oreston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Oreston_Colour_logo"/>
                    <pic:cNvPicPr>
                      <a:picLocks noChangeAspect="1" noChangeArrowheads="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5D9F" w:rsidRPr="002C7B67">
        <w:rPr>
          <w:rFonts w:ascii="Muli" w:hAnsi="Muli" w:cs="Arial"/>
          <w:noProof/>
          <w:szCs w:val="22"/>
          <w:lang w:eastAsia="en-GB"/>
        </w:rPr>
        <w:drawing>
          <wp:anchor distT="0" distB="0" distL="114300" distR="114300" simplePos="0" relativeHeight="251658240" behindDoc="1" locked="0" layoutInCell="1" allowOverlap="1" wp14:anchorId="70147F21" wp14:editId="5D5E08AD">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77777777"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77777777" w:rsidR="00212EEB" w:rsidRPr="008D245A" w:rsidRDefault="00212EEB" w:rsidP="00E90866">
      <w:pPr>
        <w:pStyle w:val="BodyText"/>
        <w:ind w:left="0"/>
        <w:outlineLvl w:val="0"/>
        <w:rPr>
          <w:rStyle w:val="Emphasis"/>
          <w:rFonts w:ascii="Muli" w:hAnsi="Muli" w:cstheme="minorHAnsi"/>
          <w:i w:val="0"/>
          <w:sz w:val="21"/>
          <w:szCs w:val="21"/>
        </w:rPr>
      </w:pPr>
      <w:r w:rsidRPr="008D245A">
        <w:rPr>
          <w:rStyle w:val="Emphasis"/>
          <w:rFonts w:ascii="Muli" w:hAnsi="Muli" w:cstheme="minorHAnsi"/>
          <w:b/>
          <w:i w:val="0"/>
          <w:sz w:val="21"/>
          <w:szCs w:val="21"/>
        </w:rPr>
        <w:t>Job Title:</w:t>
      </w:r>
      <w:r w:rsidRPr="008D245A">
        <w:rPr>
          <w:rStyle w:val="Emphasis"/>
          <w:rFonts w:ascii="Muli" w:hAnsi="Muli" w:cstheme="minorHAnsi"/>
          <w:i w:val="0"/>
          <w:sz w:val="21"/>
          <w:szCs w:val="21"/>
        </w:rPr>
        <w:t xml:space="preserve">     </w:t>
      </w:r>
      <w:r w:rsidRPr="008D245A">
        <w:rPr>
          <w:rStyle w:val="Emphasis"/>
          <w:rFonts w:ascii="Muli" w:hAnsi="Muli" w:cstheme="minorHAnsi"/>
          <w:i w:val="0"/>
          <w:sz w:val="21"/>
          <w:szCs w:val="21"/>
        </w:rPr>
        <w:tab/>
      </w:r>
      <w:r w:rsidRPr="008D245A">
        <w:rPr>
          <w:rStyle w:val="Emphasis"/>
          <w:rFonts w:ascii="Muli" w:hAnsi="Muli" w:cstheme="minorHAnsi"/>
          <w:i w:val="0"/>
          <w:sz w:val="21"/>
          <w:szCs w:val="21"/>
        </w:rPr>
        <w:tab/>
      </w:r>
      <w:r w:rsidR="00DD1209">
        <w:rPr>
          <w:rStyle w:val="Emphasis"/>
          <w:rFonts w:ascii="Muli" w:hAnsi="Muli" w:cstheme="minorHAnsi"/>
          <w:i w:val="0"/>
          <w:sz w:val="21"/>
          <w:szCs w:val="21"/>
        </w:rPr>
        <w:t>SEN Teaching Assistant (1:1 Support)</w:t>
      </w:r>
      <w:r w:rsidR="008C4F96">
        <w:rPr>
          <w:rStyle w:val="Emphasis"/>
          <w:rFonts w:ascii="Muli" w:hAnsi="Muli" w:cstheme="minorHAnsi"/>
          <w:i w:val="0"/>
          <w:sz w:val="21"/>
          <w:szCs w:val="21"/>
        </w:rPr>
        <w:t xml:space="preserve"> – Fixed Term</w:t>
      </w:r>
    </w:p>
    <w:p w14:paraId="01B506E7" w14:textId="77777777"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DD1209">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77777777"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£25,583 - £26,403 full time equivalent</w:t>
      </w:r>
    </w:p>
    <w:p w14:paraId="7604ECD5" w14:textId="77777777" w:rsidR="000076B0" w:rsidRPr="007A3628" w:rsidRDefault="00D034A4" w:rsidP="4D225D0A">
      <w:pPr>
        <w:pStyle w:val="BodyText"/>
        <w:ind w:left="2160" w:hanging="2160"/>
        <w:rPr>
          <w:rStyle w:val="Emphasis"/>
          <w:rFonts w:ascii="Muli" w:hAnsi="Muli" w:cstheme="minorBidi"/>
          <w:i w:val="0"/>
          <w:sz w:val="21"/>
          <w:szCs w:val="21"/>
        </w:rPr>
      </w:pPr>
      <w:r w:rsidRPr="4D225D0A">
        <w:rPr>
          <w:rStyle w:val="Emphasis"/>
          <w:rFonts w:ascii="Muli" w:hAnsi="Muli" w:cstheme="minorBidi"/>
          <w:b/>
          <w:bCs/>
          <w:i w:val="0"/>
          <w:sz w:val="21"/>
          <w:szCs w:val="21"/>
        </w:rPr>
        <w:t>Hours:</w:t>
      </w:r>
      <w:r>
        <w:tab/>
      </w:r>
      <w:r w:rsidR="008C4F96" w:rsidRPr="4D225D0A">
        <w:rPr>
          <w:rFonts w:ascii="Muli" w:hAnsi="Muli"/>
          <w:sz w:val="21"/>
          <w:szCs w:val="21"/>
        </w:rPr>
        <w:t>3</w:t>
      </w:r>
      <w:r w:rsidR="00DD1209" w:rsidRPr="4D225D0A">
        <w:rPr>
          <w:rFonts w:ascii="Muli" w:hAnsi="Muli"/>
          <w:sz w:val="21"/>
          <w:szCs w:val="21"/>
        </w:rPr>
        <w:t>1.67 hours per week, 38 weeks per year plus 2 Inset days</w:t>
      </w:r>
      <w:r w:rsidR="008C4F96" w:rsidRPr="4D225D0A">
        <w:rPr>
          <w:rFonts w:ascii="Muli" w:hAnsi="Muli"/>
          <w:sz w:val="21"/>
          <w:szCs w:val="21"/>
        </w:rPr>
        <w:t xml:space="preserve">. </w:t>
      </w:r>
      <w:r w:rsidR="008C4F96" w:rsidRPr="4D225D0A">
        <w:rPr>
          <w:rFonts w:ascii="Muli" w:hAnsi="Muli"/>
          <w:color w:val="FF0000"/>
          <w:sz w:val="21"/>
          <w:szCs w:val="21"/>
        </w:rPr>
        <w:t>Fixed term contract until 31</w:t>
      </w:r>
      <w:r w:rsidR="008C4F96" w:rsidRPr="4D225D0A">
        <w:rPr>
          <w:rFonts w:ascii="Muli" w:hAnsi="Muli"/>
          <w:color w:val="FF0000"/>
          <w:sz w:val="21"/>
          <w:szCs w:val="21"/>
          <w:vertAlign w:val="superscript"/>
        </w:rPr>
        <w:t>st</w:t>
      </w:r>
      <w:r w:rsidR="008C4F96" w:rsidRPr="4D225D0A">
        <w:rPr>
          <w:rFonts w:ascii="Muli" w:hAnsi="Muli"/>
          <w:color w:val="FF0000"/>
          <w:sz w:val="21"/>
          <w:szCs w:val="21"/>
        </w:rPr>
        <w:t xml:space="preserve"> August 2026</w:t>
      </w:r>
    </w:p>
    <w:p w14:paraId="35FE9154" w14:textId="41D4FCDD"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527FBA09" w:rsidRPr="4D225D0A">
        <w:rPr>
          <w:rStyle w:val="Emphasis"/>
          <w:rFonts w:ascii="Muli" w:hAnsi="Muli" w:cstheme="minorBidi"/>
          <w:i w:val="0"/>
          <w:sz w:val="21"/>
          <w:szCs w:val="21"/>
        </w:rPr>
        <w:t>The</w:t>
      </w:r>
      <w:r w:rsidR="00DD1209" w:rsidRPr="4D225D0A">
        <w:rPr>
          <w:rStyle w:val="Emphasis"/>
          <w:rFonts w:ascii="Muli" w:hAnsi="Muli" w:cstheme="minorBidi"/>
          <w:i w:val="0"/>
          <w:sz w:val="21"/>
          <w:szCs w:val="21"/>
        </w:rPr>
        <w:t xml:space="preserve"> SENDCO</w:t>
      </w:r>
    </w:p>
    <w:p w14:paraId="021A175D" w14:textId="77777777" w:rsidR="00CF3FD1" w:rsidRPr="008D245A" w:rsidRDefault="00BF17B6" w:rsidP="00E90866">
      <w:pPr>
        <w:pStyle w:val="BodyText"/>
        <w:ind w:left="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77777777"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p>
    <w:p w14:paraId="2B850DD8" w14:textId="77777777" w:rsidR="0044307C" w:rsidRPr="0044307C" w:rsidRDefault="0044307C" w:rsidP="001C1EF5">
      <w:pPr>
        <w:outlineLvl w:val="1"/>
        <w:rPr>
          <w:rFonts w:ascii="Muli" w:hAnsi="Muli" w:cstheme="minorHAnsi"/>
          <w:sz w:val="21"/>
          <w:szCs w:val="21"/>
        </w:rPr>
      </w:pPr>
    </w:p>
    <w:p w14:paraId="2A70EA0B" w14:textId="77777777"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 xml:space="preserve">pupils and to assist the teacher in the management of pupils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 xml:space="preserve">At all times demonstrate and uphold </w:t>
      </w:r>
      <w:proofErr w:type="spellStart"/>
      <w:r w:rsidRPr="00DD1209">
        <w:rPr>
          <w:rFonts w:ascii="Muli" w:hAnsi="Muli" w:cstheme="minorBidi"/>
          <w:sz w:val="21"/>
          <w:szCs w:val="21"/>
        </w:rPr>
        <w:t>WeST’s</w:t>
      </w:r>
      <w:proofErr w:type="spellEnd"/>
      <w:r w:rsidRPr="00DD1209">
        <w:rPr>
          <w:rFonts w:ascii="Muli" w:hAnsi="Muli" w:cstheme="minorBidi"/>
          <w:sz w:val="21"/>
          <w:szCs w:val="21"/>
        </w:rPr>
        <w:t xml:space="preserve">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Supervise and provide particular support for pupils,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lastRenderedPageBreak/>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w:t>
      </w:r>
      <w:proofErr w:type="gramStart"/>
      <w:r w:rsidRPr="00151C8C">
        <w:rPr>
          <w:rFonts w:ascii="Muli" w:hAnsi="Muli" w:cstheme="minorBidi"/>
          <w:bCs w:val="0"/>
          <w:sz w:val="21"/>
          <w:szCs w:val="21"/>
        </w:rPr>
        <w:t>e.g.</w:t>
      </w:r>
      <w:proofErr w:type="gramEnd"/>
      <w:r w:rsidRPr="00151C8C">
        <w:rPr>
          <w:rFonts w:ascii="Muli" w:hAnsi="Muli" w:cstheme="minorBidi"/>
          <w:bCs w:val="0"/>
          <w:sz w:val="21"/>
          <w:szCs w:val="21"/>
        </w:rPr>
        <w:t xml:space="preserve">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77777777"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before and after school and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lastRenderedPageBreak/>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7CE3D3DD" w14:textId="77777777" w:rsidR="00DD1209" w:rsidRPr="00DD1209" w:rsidRDefault="00DD1209" w:rsidP="00DD1209">
      <w:pPr>
        <w:spacing w:after="12" w:line="248" w:lineRule="auto"/>
        <w:ind w:left="142"/>
        <w:rPr>
          <w:rFonts w:ascii="Muli" w:hAnsi="Muli" w:cstheme="minorBidi"/>
          <w:bCs w:val="0"/>
          <w:sz w:val="21"/>
          <w:szCs w:val="21"/>
        </w:rPr>
      </w:pPr>
    </w:p>
    <w:p w14:paraId="4B43CBEE"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The specific requirements of Level 2 Teaching Assistants as negotiated at Oreston Community Academy are stated on Page 3 of this job description. </w:t>
      </w:r>
    </w:p>
    <w:p w14:paraId="02F3530A" w14:textId="77777777" w:rsidR="00DD1209" w:rsidRPr="00DD1209" w:rsidRDefault="00DD1209" w:rsidP="00DD1209">
      <w:pPr>
        <w:spacing w:after="12" w:line="248" w:lineRule="auto"/>
        <w:ind w:left="142"/>
        <w:rPr>
          <w:rFonts w:ascii="Muli" w:hAnsi="Muli" w:cstheme="minorBidi"/>
          <w:bCs w:val="0"/>
          <w:sz w:val="21"/>
          <w:szCs w:val="21"/>
        </w:rPr>
      </w:pPr>
    </w:p>
    <w:p w14:paraId="4BC5577C"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Provide a summary of the postholder’s responsibility for promoting and safeguarding the welfare of children and young persons, including the extent of the contact the person will have with children and his/her degree of responsibility for them.</w:t>
      </w: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2B21C28C" w14:textId="77777777" w:rsidTr="00832E79">
        <w:trPr>
          <w:cantSplit/>
          <w:trHeight w:val="1814"/>
        </w:trPr>
        <w:tc>
          <w:tcPr>
            <w:tcW w:w="7088"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792F6B0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004921F6">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004921F6">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00AC275D">
        <w:trPr>
          <w:trHeight w:val="417"/>
        </w:trPr>
        <w:tc>
          <w:tcPr>
            <w:tcW w:w="7088"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394A4545" w14:textId="77777777" w:rsidR="005D0DDC" w:rsidRPr="008D245A" w:rsidRDefault="005D0DDC" w:rsidP="005D0DDC">
            <w:pPr>
              <w:rPr>
                <w:rFonts w:ascii="Muli" w:hAnsi="Muli" w:cstheme="minorHAnsi"/>
                <w:b/>
                <w:sz w:val="21"/>
                <w:szCs w:val="21"/>
              </w:rPr>
            </w:pPr>
          </w:p>
        </w:tc>
        <w:tc>
          <w:tcPr>
            <w:tcW w:w="113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004921F6">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00AC275D">
        <w:trPr>
          <w:trHeight w:val="417"/>
        </w:trPr>
        <w:tc>
          <w:tcPr>
            <w:tcW w:w="7088"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CCD50C2" w14:textId="77777777" w:rsidR="005D0DDC" w:rsidRPr="008D245A" w:rsidRDefault="005D0DDC" w:rsidP="005D0DDC">
            <w:pPr>
              <w:rPr>
                <w:rFonts w:ascii="Muli" w:hAnsi="Muli" w:cstheme="minorHAnsi"/>
                <w:b/>
                <w:sz w:val="21"/>
                <w:szCs w:val="21"/>
              </w:rPr>
            </w:pPr>
          </w:p>
        </w:tc>
        <w:tc>
          <w:tcPr>
            <w:tcW w:w="113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00AC275D">
        <w:trPr>
          <w:trHeight w:val="417"/>
        </w:trPr>
        <w:tc>
          <w:tcPr>
            <w:tcW w:w="7088"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51B482" w14:textId="77777777" w:rsidR="005D0DDC" w:rsidRPr="008D245A" w:rsidRDefault="005D0DDC" w:rsidP="005D0DDC">
            <w:pPr>
              <w:rPr>
                <w:rFonts w:ascii="Muli" w:hAnsi="Muli" w:cstheme="minorHAnsi"/>
                <w:b/>
                <w:sz w:val="21"/>
                <w:szCs w:val="21"/>
              </w:rPr>
            </w:pPr>
          </w:p>
        </w:tc>
        <w:tc>
          <w:tcPr>
            <w:tcW w:w="113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004921F6">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00AC275D">
        <w:trPr>
          <w:trHeight w:val="417"/>
        </w:trPr>
        <w:tc>
          <w:tcPr>
            <w:tcW w:w="7088"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68AC8BC" w14:textId="77777777" w:rsidR="005D0DDC" w:rsidRPr="008D245A" w:rsidRDefault="005D0DDC" w:rsidP="005D0DDC">
            <w:pPr>
              <w:rPr>
                <w:rFonts w:ascii="Muli" w:hAnsi="Muli" w:cstheme="minorHAnsi"/>
                <w:b/>
                <w:sz w:val="21"/>
                <w:szCs w:val="21"/>
              </w:rPr>
            </w:pPr>
          </w:p>
        </w:tc>
        <w:tc>
          <w:tcPr>
            <w:tcW w:w="113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00AC275D">
        <w:trPr>
          <w:trHeight w:val="417"/>
        </w:trPr>
        <w:tc>
          <w:tcPr>
            <w:tcW w:w="7088"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EE4B6E7" w14:textId="77777777" w:rsidR="005D0DDC" w:rsidRPr="008D245A" w:rsidRDefault="005D0DDC" w:rsidP="005D0DDC">
            <w:pPr>
              <w:rPr>
                <w:rFonts w:ascii="Muli" w:hAnsi="Muli" w:cstheme="minorHAnsi"/>
                <w:b/>
                <w:sz w:val="21"/>
                <w:szCs w:val="21"/>
              </w:rPr>
            </w:pPr>
          </w:p>
        </w:tc>
        <w:tc>
          <w:tcPr>
            <w:tcW w:w="113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00AC275D">
        <w:trPr>
          <w:trHeight w:val="417"/>
        </w:trPr>
        <w:tc>
          <w:tcPr>
            <w:tcW w:w="7088"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C74574A" w14:textId="77777777" w:rsidR="005D0DDC" w:rsidRPr="008D245A" w:rsidRDefault="005D0DDC" w:rsidP="005D0DDC">
            <w:pPr>
              <w:rPr>
                <w:rFonts w:ascii="Muli" w:hAnsi="Muli" w:cstheme="minorHAnsi"/>
                <w:b/>
                <w:sz w:val="21"/>
                <w:szCs w:val="21"/>
              </w:rPr>
            </w:pPr>
          </w:p>
        </w:tc>
        <w:tc>
          <w:tcPr>
            <w:tcW w:w="113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004921F6">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00AC275D">
        <w:trPr>
          <w:trHeight w:val="417"/>
        </w:trPr>
        <w:tc>
          <w:tcPr>
            <w:tcW w:w="7088"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AEE3ED5" w14:textId="77777777" w:rsidR="005D0DDC" w:rsidRPr="008D245A" w:rsidRDefault="005D0DDC" w:rsidP="005D0DDC">
            <w:pPr>
              <w:rPr>
                <w:rFonts w:ascii="Muli" w:hAnsi="Muli" w:cstheme="minorHAnsi"/>
                <w:b/>
                <w:sz w:val="21"/>
                <w:szCs w:val="21"/>
              </w:rPr>
            </w:pPr>
          </w:p>
        </w:tc>
        <w:tc>
          <w:tcPr>
            <w:tcW w:w="113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0046585A">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00832E79">
        <w:trPr>
          <w:trHeight w:val="417"/>
        </w:trPr>
        <w:tc>
          <w:tcPr>
            <w:tcW w:w="7088"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709"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00C373C3">
        <w:trPr>
          <w:trHeight w:val="420"/>
        </w:trPr>
        <w:tc>
          <w:tcPr>
            <w:tcW w:w="7088"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709"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00C373C3">
        <w:trPr>
          <w:trHeight w:val="420"/>
        </w:trPr>
        <w:tc>
          <w:tcPr>
            <w:tcW w:w="7088"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709"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00C373C3">
        <w:trPr>
          <w:trHeight w:val="420"/>
        </w:trPr>
        <w:tc>
          <w:tcPr>
            <w:tcW w:w="7088"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709"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AAF8E6D" w14:textId="77777777" w:rsidR="006D4F6F" w:rsidRPr="008D245A" w:rsidRDefault="006D4F6F" w:rsidP="003D473F">
            <w:pPr>
              <w:rPr>
                <w:rFonts w:ascii="Muli" w:hAnsi="Muli" w:cstheme="minorHAnsi"/>
                <w:b/>
                <w:sz w:val="21"/>
                <w:szCs w:val="21"/>
              </w:rPr>
            </w:pPr>
          </w:p>
        </w:tc>
        <w:tc>
          <w:tcPr>
            <w:tcW w:w="113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00C373C3">
        <w:trPr>
          <w:trHeight w:val="420"/>
        </w:trPr>
        <w:tc>
          <w:tcPr>
            <w:tcW w:w="7088"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709"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3B54AD18" w14:textId="77777777" w:rsidR="006D4F6F" w:rsidRPr="008D245A" w:rsidRDefault="006D4F6F" w:rsidP="003D473F">
            <w:pPr>
              <w:rPr>
                <w:rFonts w:ascii="Muli" w:hAnsi="Muli" w:cstheme="minorHAnsi"/>
                <w:b/>
                <w:sz w:val="21"/>
                <w:szCs w:val="21"/>
              </w:rPr>
            </w:pPr>
          </w:p>
        </w:tc>
        <w:tc>
          <w:tcPr>
            <w:tcW w:w="113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00C373C3">
        <w:trPr>
          <w:trHeight w:val="420"/>
        </w:trPr>
        <w:tc>
          <w:tcPr>
            <w:tcW w:w="7088"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t xml:space="preserve">An awareness of current educational thinking and trends  </w:t>
            </w:r>
          </w:p>
        </w:tc>
        <w:tc>
          <w:tcPr>
            <w:tcW w:w="709"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6202E46D" w14:textId="77777777" w:rsidR="006D4F6F" w:rsidRPr="008D245A" w:rsidRDefault="006D4F6F" w:rsidP="003D473F">
            <w:pPr>
              <w:rPr>
                <w:rFonts w:ascii="Muli" w:hAnsi="Muli" w:cstheme="minorHAnsi"/>
                <w:b/>
                <w:sz w:val="21"/>
                <w:szCs w:val="21"/>
              </w:rPr>
            </w:pPr>
          </w:p>
        </w:tc>
        <w:tc>
          <w:tcPr>
            <w:tcW w:w="113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00C373C3">
        <w:trPr>
          <w:trHeight w:val="420"/>
        </w:trPr>
        <w:tc>
          <w:tcPr>
            <w:tcW w:w="7088"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709"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2EC86F51" w14:textId="77777777" w:rsidR="006D4F6F" w:rsidRPr="008D245A" w:rsidRDefault="006D4F6F" w:rsidP="003D473F">
            <w:pPr>
              <w:rPr>
                <w:rFonts w:ascii="Muli" w:hAnsi="Muli" w:cstheme="minorHAnsi"/>
                <w:b/>
                <w:sz w:val="21"/>
                <w:szCs w:val="21"/>
              </w:rPr>
            </w:pPr>
          </w:p>
        </w:tc>
        <w:tc>
          <w:tcPr>
            <w:tcW w:w="113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00C373C3">
        <w:trPr>
          <w:trHeight w:val="420"/>
        </w:trPr>
        <w:tc>
          <w:tcPr>
            <w:tcW w:w="7088" w:type="dxa"/>
            <w:vAlign w:val="center"/>
          </w:tcPr>
          <w:p w14:paraId="11EC6F00" w14:textId="77777777" w:rsidR="006D4F6F" w:rsidRDefault="006D4F6F" w:rsidP="006D4F6F">
            <w:pPr>
              <w:spacing w:after="57"/>
              <w:ind w:right="224"/>
              <w:jc w:val="center"/>
              <w:rPr>
                <w:rFonts w:ascii="Tahoma" w:eastAsia="Tahoma" w:hAnsi="Tahoma" w:cs="Tahoma"/>
              </w:rPr>
            </w:pPr>
          </w:p>
        </w:tc>
        <w:tc>
          <w:tcPr>
            <w:tcW w:w="709" w:type="dxa"/>
            <w:vAlign w:val="center"/>
          </w:tcPr>
          <w:p w14:paraId="366B17DC" w14:textId="77777777" w:rsidR="006D4F6F" w:rsidRPr="008D245A" w:rsidRDefault="006D4F6F" w:rsidP="003D473F">
            <w:pPr>
              <w:rPr>
                <w:rFonts w:ascii="Muli" w:hAnsi="Muli" w:cstheme="minorHAnsi"/>
                <w:b/>
                <w:sz w:val="21"/>
                <w:szCs w:val="21"/>
              </w:rPr>
            </w:pPr>
          </w:p>
        </w:tc>
        <w:tc>
          <w:tcPr>
            <w:tcW w:w="708" w:type="dxa"/>
            <w:vAlign w:val="center"/>
          </w:tcPr>
          <w:p w14:paraId="457F29FD" w14:textId="77777777" w:rsidR="006D4F6F" w:rsidRPr="008D245A" w:rsidRDefault="006D4F6F" w:rsidP="003D473F">
            <w:pPr>
              <w:rPr>
                <w:rFonts w:ascii="Muli" w:hAnsi="Muli" w:cstheme="minorHAnsi"/>
                <w:b/>
                <w:sz w:val="21"/>
                <w:szCs w:val="21"/>
              </w:rPr>
            </w:pPr>
          </w:p>
        </w:tc>
        <w:tc>
          <w:tcPr>
            <w:tcW w:w="113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0046585A">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00C373C3">
        <w:trPr>
          <w:trHeight w:val="420"/>
        </w:trPr>
        <w:tc>
          <w:tcPr>
            <w:tcW w:w="7088"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709"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00C373C3">
        <w:trPr>
          <w:trHeight w:val="420"/>
        </w:trPr>
        <w:tc>
          <w:tcPr>
            <w:tcW w:w="7088"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709"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00C373C3">
        <w:trPr>
          <w:trHeight w:val="420"/>
        </w:trPr>
        <w:tc>
          <w:tcPr>
            <w:tcW w:w="7088"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709"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63CEA6B9" w14:textId="77777777" w:rsidR="007A3628" w:rsidRPr="008D245A" w:rsidRDefault="007A3628" w:rsidP="007A3628">
            <w:pPr>
              <w:rPr>
                <w:rFonts w:ascii="Muli" w:hAnsi="Muli" w:cstheme="minorHAnsi"/>
                <w:b/>
                <w:sz w:val="21"/>
                <w:szCs w:val="21"/>
              </w:rPr>
            </w:pPr>
          </w:p>
        </w:tc>
        <w:tc>
          <w:tcPr>
            <w:tcW w:w="113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00C373C3">
        <w:trPr>
          <w:trHeight w:val="420"/>
        </w:trPr>
        <w:tc>
          <w:tcPr>
            <w:tcW w:w="7088"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lastRenderedPageBreak/>
              <w:t xml:space="preserve">Experience of delivering group work  </w:t>
            </w:r>
          </w:p>
        </w:tc>
        <w:tc>
          <w:tcPr>
            <w:tcW w:w="709"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708" w:type="dxa"/>
            <w:vAlign w:val="center"/>
          </w:tcPr>
          <w:p w14:paraId="07C807DB" w14:textId="77777777" w:rsidR="007A3628" w:rsidRPr="008D245A" w:rsidRDefault="007A3628" w:rsidP="007A3628">
            <w:pPr>
              <w:rPr>
                <w:rFonts w:ascii="Muli" w:hAnsi="Muli" w:cstheme="minorHAnsi"/>
                <w:b/>
                <w:sz w:val="21"/>
                <w:szCs w:val="21"/>
              </w:rPr>
            </w:pPr>
          </w:p>
        </w:tc>
        <w:tc>
          <w:tcPr>
            <w:tcW w:w="113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00C373C3">
        <w:trPr>
          <w:trHeight w:val="420"/>
        </w:trPr>
        <w:tc>
          <w:tcPr>
            <w:tcW w:w="7088" w:type="dxa"/>
            <w:vAlign w:val="center"/>
          </w:tcPr>
          <w:p w14:paraId="659C8D8E" w14:textId="77777777" w:rsidR="007A3628" w:rsidRPr="008D245A" w:rsidRDefault="007A3628" w:rsidP="007A3628">
            <w:pPr>
              <w:rPr>
                <w:rFonts w:ascii="Muli" w:hAnsi="Muli" w:cstheme="minorHAnsi"/>
                <w:sz w:val="21"/>
                <w:szCs w:val="21"/>
              </w:rPr>
            </w:pPr>
          </w:p>
        </w:tc>
        <w:tc>
          <w:tcPr>
            <w:tcW w:w="709" w:type="dxa"/>
            <w:vAlign w:val="center"/>
          </w:tcPr>
          <w:p w14:paraId="41EF6404" w14:textId="77777777" w:rsidR="007A3628" w:rsidRPr="008D245A" w:rsidRDefault="007A3628" w:rsidP="007A3628">
            <w:pPr>
              <w:rPr>
                <w:rFonts w:ascii="Muli" w:hAnsi="Muli" w:cstheme="minorHAnsi"/>
                <w:b/>
                <w:sz w:val="21"/>
                <w:szCs w:val="21"/>
              </w:rPr>
            </w:pPr>
          </w:p>
        </w:tc>
        <w:tc>
          <w:tcPr>
            <w:tcW w:w="708" w:type="dxa"/>
            <w:vAlign w:val="center"/>
          </w:tcPr>
          <w:p w14:paraId="17DCC8B8" w14:textId="77777777" w:rsidR="007A3628" w:rsidRPr="008D245A" w:rsidRDefault="007A3628" w:rsidP="007A3628">
            <w:pPr>
              <w:rPr>
                <w:rFonts w:ascii="Muli" w:hAnsi="Muli" w:cstheme="minorHAnsi"/>
                <w:b/>
                <w:sz w:val="21"/>
                <w:szCs w:val="21"/>
              </w:rPr>
            </w:pPr>
          </w:p>
        </w:tc>
        <w:tc>
          <w:tcPr>
            <w:tcW w:w="113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0046585A">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00C373C3">
        <w:trPr>
          <w:trHeight w:val="420"/>
        </w:trPr>
        <w:tc>
          <w:tcPr>
            <w:tcW w:w="7088"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709"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00C373C3">
        <w:trPr>
          <w:trHeight w:val="420"/>
        </w:trPr>
        <w:tc>
          <w:tcPr>
            <w:tcW w:w="7088"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709"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708"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00C373C3">
        <w:trPr>
          <w:trHeight w:val="420"/>
        </w:trPr>
        <w:tc>
          <w:tcPr>
            <w:tcW w:w="7088"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709"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72BBCBFA" w14:textId="77777777" w:rsidR="007A3628" w:rsidRPr="008D245A" w:rsidRDefault="007A3628" w:rsidP="007A3628">
            <w:pPr>
              <w:rPr>
                <w:rFonts w:ascii="Muli" w:hAnsi="Muli" w:cstheme="minorHAnsi"/>
                <w:b/>
                <w:sz w:val="21"/>
                <w:szCs w:val="21"/>
              </w:rPr>
            </w:pPr>
          </w:p>
        </w:tc>
        <w:tc>
          <w:tcPr>
            <w:tcW w:w="113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00CE36EB">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00A63398">
        <w:trPr>
          <w:trHeight w:val="420"/>
        </w:trPr>
        <w:tc>
          <w:tcPr>
            <w:tcW w:w="7088"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709"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00A63398">
        <w:trPr>
          <w:trHeight w:val="420"/>
        </w:trPr>
        <w:tc>
          <w:tcPr>
            <w:tcW w:w="7088" w:type="dxa"/>
            <w:vAlign w:val="center"/>
          </w:tcPr>
          <w:p w14:paraId="03D9F2E7" w14:textId="77777777" w:rsidR="007A3628" w:rsidRPr="008D245A" w:rsidRDefault="007A3628" w:rsidP="007A3628">
            <w:pPr>
              <w:rPr>
                <w:rFonts w:ascii="Muli" w:hAnsi="Muli" w:cstheme="minorHAnsi"/>
                <w:sz w:val="21"/>
                <w:szCs w:val="21"/>
              </w:rPr>
            </w:pPr>
          </w:p>
        </w:tc>
        <w:tc>
          <w:tcPr>
            <w:tcW w:w="709" w:type="dxa"/>
            <w:vAlign w:val="center"/>
          </w:tcPr>
          <w:p w14:paraId="5B4835B3" w14:textId="77777777" w:rsidR="007A3628" w:rsidRPr="008D245A" w:rsidRDefault="007A3628" w:rsidP="007A3628">
            <w:pPr>
              <w:rPr>
                <w:rFonts w:ascii="Muli" w:hAnsi="Muli" w:cstheme="minorHAnsi"/>
                <w:b/>
                <w:sz w:val="21"/>
                <w:szCs w:val="21"/>
              </w:rPr>
            </w:pPr>
          </w:p>
        </w:tc>
        <w:tc>
          <w:tcPr>
            <w:tcW w:w="708" w:type="dxa"/>
            <w:vAlign w:val="center"/>
          </w:tcPr>
          <w:p w14:paraId="7C40ED30" w14:textId="77777777" w:rsidR="007A3628" w:rsidRPr="008D245A" w:rsidRDefault="007A3628" w:rsidP="007A3628">
            <w:pPr>
              <w:rPr>
                <w:rFonts w:ascii="Muli" w:hAnsi="Muli" w:cstheme="minorHAnsi"/>
                <w:b/>
                <w:sz w:val="21"/>
                <w:szCs w:val="21"/>
              </w:rPr>
            </w:pPr>
          </w:p>
        </w:tc>
        <w:tc>
          <w:tcPr>
            <w:tcW w:w="113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00A63398">
        <w:trPr>
          <w:trHeight w:val="420"/>
        </w:trPr>
        <w:tc>
          <w:tcPr>
            <w:tcW w:w="7088" w:type="dxa"/>
            <w:vAlign w:val="center"/>
          </w:tcPr>
          <w:p w14:paraId="55955EFB" w14:textId="77777777" w:rsidR="007A3628" w:rsidRPr="008D245A" w:rsidRDefault="007A3628" w:rsidP="007A3628">
            <w:pPr>
              <w:rPr>
                <w:rFonts w:ascii="Muli" w:hAnsi="Muli" w:cstheme="minorHAnsi"/>
                <w:sz w:val="21"/>
                <w:szCs w:val="21"/>
              </w:rPr>
            </w:pPr>
          </w:p>
        </w:tc>
        <w:tc>
          <w:tcPr>
            <w:tcW w:w="709" w:type="dxa"/>
            <w:vAlign w:val="center"/>
          </w:tcPr>
          <w:p w14:paraId="5E69AA82" w14:textId="77777777" w:rsidR="007A3628" w:rsidRPr="008D245A" w:rsidRDefault="007A3628" w:rsidP="007A3628">
            <w:pPr>
              <w:rPr>
                <w:rFonts w:ascii="Muli" w:hAnsi="Muli" w:cstheme="minorHAnsi"/>
                <w:b/>
                <w:sz w:val="21"/>
                <w:szCs w:val="21"/>
              </w:rPr>
            </w:pPr>
          </w:p>
        </w:tc>
        <w:tc>
          <w:tcPr>
            <w:tcW w:w="708" w:type="dxa"/>
            <w:vAlign w:val="center"/>
          </w:tcPr>
          <w:p w14:paraId="16BF2993" w14:textId="77777777" w:rsidR="007A3628" w:rsidRPr="008D245A" w:rsidRDefault="007A3628" w:rsidP="007A3628">
            <w:pPr>
              <w:rPr>
                <w:rFonts w:ascii="Muli" w:hAnsi="Muli" w:cstheme="minorHAnsi"/>
                <w:b/>
                <w:sz w:val="21"/>
                <w:szCs w:val="21"/>
              </w:rPr>
            </w:pPr>
          </w:p>
        </w:tc>
        <w:tc>
          <w:tcPr>
            <w:tcW w:w="113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9A88" w14:textId="77777777" w:rsidR="005E16C6" w:rsidRDefault="005E16C6">
      <w:r>
        <w:separator/>
      </w:r>
    </w:p>
  </w:endnote>
  <w:endnote w:type="continuationSeparator" w:id="0">
    <w:p w14:paraId="07F3E530" w14:textId="77777777" w:rsidR="005E16C6" w:rsidRDefault="005E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73B5324" w14:textId="77777777" w:rsidR="00825A2A" w:rsidRDefault="00825A2A">
        <w:pPr>
          <w:pStyle w:val="Footer"/>
          <w:jc w:val="right"/>
        </w:pPr>
        <w:r>
          <w:fldChar w:fldCharType="begin"/>
        </w:r>
        <w:r>
          <w:instrText xml:space="preserve"> PAGE   \* MERGEFORMAT </w:instrText>
        </w:r>
        <w:r>
          <w:fldChar w:fldCharType="separate"/>
        </w:r>
        <w:r w:rsidR="00B0438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499A" w14:textId="77777777" w:rsidR="005E16C6" w:rsidRDefault="005E16C6">
      <w:r>
        <w:separator/>
      </w:r>
    </w:p>
  </w:footnote>
  <w:footnote w:type="continuationSeparator" w:id="0">
    <w:p w14:paraId="386393E6" w14:textId="77777777" w:rsidR="005E16C6" w:rsidRDefault="005E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33"/>
  </w:num>
  <w:num w:numId="5">
    <w:abstractNumId w:val="8"/>
  </w:num>
  <w:num w:numId="6">
    <w:abstractNumId w:val="10"/>
  </w:num>
  <w:num w:numId="7">
    <w:abstractNumId w:val="32"/>
  </w:num>
  <w:num w:numId="8">
    <w:abstractNumId w:val="29"/>
  </w:num>
  <w:num w:numId="9">
    <w:abstractNumId w:val="27"/>
  </w:num>
  <w:num w:numId="10">
    <w:abstractNumId w:val="35"/>
  </w:num>
  <w:num w:numId="11">
    <w:abstractNumId w:val="12"/>
  </w:num>
  <w:num w:numId="12">
    <w:abstractNumId w:val="0"/>
  </w:num>
  <w:num w:numId="13">
    <w:abstractNumId w:val="19"/>
  </w:num>
  <w:num w:numId="14">
    <w:abstractNumId w:val="5"/>
  </w:num>
  <w:num w:numId="15">
    <w:abstractNumId w:val="15"/>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7"/>
  </w:num>
  <w:num w:numId="20">
    <w:abstractNumId w:val="25"/>
  </w:num>
  <w:num w:numId="21">
    <w:abstractNumId w:val="1"/>
  </w:num>
  <w:num w:numId="22">
    <w:abstractNumId w:val="24"/>
  </w:num>
  <w:num w:numId="23">
    <w:abstractNumId w:val="22"/>
  </w:num>
  <w:num w:numId="24">
    <w:abstractNumId w:val="18"/>
  </w:num>
  <w:num w:numId="25">
    <w:abstractNumId w:val="34"/>
  </w:num>
  <w:num w:numId="26">
    <w:abstractNumId w:val="4"/>
  </w:num>
  <w:num w:numId="27">
    <w:abstractNumId w:val="13"/>
  </w:num>
  <w:num w:numId="28">
    <w:abstractNumId w:val="16"/>
  </w:num>
  <w:num w:numId="29">
    <w:abstractNumId w:val="14"/>
  </w:num>
  <w:num w:numId="30">
    <w:abstractNumId w:val="31"/>
  </w:num>
  <w:num w:numId="31">
    <w:abstractNumId w:val="21"/>
  </w:num>
  <w:num w:numId="32">
    <w:abstractNumId w:val="30"/>
  </w:num>
  <w:num w:numId="33">
    <w:abstractNumId w:val="6"/>
  </w:num>
  <w:num w:numId="34">
    <w:abstractNumId w:val="28"/>
  </w:num>
  <w:num w:numId="35">
    <w:abstractNumId w:val="7"/>
  </w:num>
  <w:num w:numId="3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4F17"/>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3F4D"/>
    <w:rsid w:val="00717F88"/>
    <w:rsid w:val="00724BCC"/>
    <w:rsid w:val="00730E59"/>
    <w:rsid w:val="007333C8"/>
    <w:rsid w:val="007422C2"/>
    <w:rsid w:val="00743EFE"/>
    <w:rsid w:val="00757AE8"/>
    <w:rsid w:val="007635F5"/>
    <w:rsid w:val="007737C5"/>
    <w:rsid w:val="00785A4E"/>
    <w:rsid w:val="00785F2A"/>
    <w:rsid w:val="00790648"/>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0D3AB6ED"/>
    <w:rsid w:val="10B72828"/>
    <w:rsid w:val="1901EA7C"/>
    <w:rsid w:val="26203CEB"/>
    <w:rsid w:val="32F825F5"/>
    <w:rsid w:val="367CDD02"/>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EFE7B-0734-4372-88FE-9759B2F7FCEA}">
  <ds:schemaRefs>
    <ds:schemaRef ds:uri="http://schemas.openxmlformats.org/officeDocument/2006/bibliography"/>
  </ds:schemaRefs>
</ds:datastoreItem>
</file>

<file path=customXml/itemProps2.xml><?xml version="1.0" encoding="utf-8"?>
<ds:datastoreItem xmlns:ds="http://schemas.openxmlformats.org/officeDocument/2006/customXml" ds:itemID="{B6DFD3F3-DB06-4C2C-8E33-3F1997BDBF39}">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e3ab379e-4e43-4ba0-8a62-67f637d29cfd"/>
    <ds:schemaRef ds:uri="http://schemas.microsoft.com/office/2006/metadata/properties"/>
    <ds:schemaRef ds:uri="http://purl.org/dc/dcmitype/"/>
    <ds:schemaRef ds:uri="http://schemas.openxmlformats.org/package/2006/metadata/core-properties"/>
    <ds:schemaRef ds:uri="d80e52b4-bcb1-41f4-91c0-c10c2ac812c3"/>
  </ds:schemaRefs>
</ds:datastoreItem>
</file>

<file path=customXml/itemProps3.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4.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1</TotalTime>
  <Pages>5</Pages>
  <Words>1364</Words>
  <Characters>7780</Characters>
  <Application>Microsoft Office Word</Application>
  <DocSecurity>0</DocSecurity>
  <Lines>64</Lines>
  <Paragraphs>18</Paragraphs>
  <ScaleCrop>false</ScaleCrop>
  <Company>Wiltshire College</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Michaela Ford</cp:lastModifiedBy>
  <cp:revision>2</cp:revision>
  <cp:lastPrinted>2018-10-08T12:21:00Z</cp:lastPrinted>
  <dcterms:created xsi:type="dcterms:W3CDTF">2025-10-23T08:04:00Z</dcterms:created>
  <dcterms:modified xsi:type="dcterms:W3CDTF">2025-10-23T08:04:00Z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