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7062F" w14:textId="2EFAF425" w:rsidR="00E34457" w:rsidRPr="00E34457" w:rsidRDefault="00E34457" w:rsidP="471DA901">
      <w:pPr>
        <w:pStyle w:val="EPMPolicyTitle"/>
        <w:spacing w:after="240" w:line="880" w:lineRule="exact"/>
        <w:rPr>
          <w:b w:val="0"/>
          <w:bCs w:val="0"/>
        </w:rPr>
      </w:pPr>
      <w:r>
        <w:rPr>
          <w:b w:val="0"/>
          <w:bCs w:val="0"/>
        </w:rPr>
        <mc:AlternateContent>
          <mc:Choice Requires="wps">
            <w:drawing>
              <wp:anchor distT="0" distB="0" distL="114300" distR="114300" simplePos="0" relativeHeight="251658242" behindDoc="0" locked="0" layoutInCell="1" allowOverlap="1" wp14:anchorId="7960E72A" wp14:editId="182452C0">
                <wp:simplePos x="0" y="0"/>
                <wp:positionH relativeFrom="column">
                  <wp:posOffset>-1132</wp:posOffset>
                </wp:positionH>
                <wp:positionV relativeFrom="paragraph">
                  <wp:posOffset>-1313649</wp:posOffset>
                </wp:positionV>
                <wp:extent cx="6301740" cy="624840"/>
                <wp:effectExtent l="13970" t="6985" r="8890" b="6350"/>
                <wp:wrapNone/>
                <wp:docPr id="2144263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24840"/>
                        </a:xfrm>
                        <a:prstGeom prst="rect">
                          <a:avLst/>
                        </a:prstGeom>
                        <a:solidFill>
                          <a:srgbClr val="FFFFFF"/>
                        </a:solidFill>
                        <a:ln w="9525">
                          <a:solidFill>
                            <a:srgbClr val="000000"/>
                          </a:solidFill>
                          <a:miter lim="800000"/>
                          <a:headEnd/>
                          <a:tailEnd/>
                        </a:ln>
                      </wps:spPr>
                      <wps:txbx>
                        <w:txbxContent>
                          <w:p w14:paraId="58C4149E" w14:textId="77777777" w:rsidR="00E34457" w:rsidRDefault="00E34457" w:rsidP="00E34457">
                            <w:pPr>
                              <w:ind w:right="977"/>
                              <w:jc w:val="center"/>
                              <w:rPr>
                                <w:rFonts w:ascii="Calibri" w:hAnsi="Calibri" w:cs="Calibri"/>
                                <w:b/>
                                <w:sz w:val="52"/>
                                <w:szCs w:val="52"/>
                              </w:rPr>
                            </w:pPr>
                            <w:r>
                              <w:rPr>
                                <w:rFonts w:ascii="Calibri" w:hAnsi="Calibri" w:cs="Calibri"/>
                                <w:b/>
                                <w:sz w:val="52"/>
                                <w:szCs w:val="52"/>
                              </w:rPr>
                              <w:t xml:space="preserve">         OAKDALE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0E72A" id="_x0000_t202" coordsize="21600,21600" o:spt="202" path="m,l,21600r21600,l21600,xe">
                <v:stroke joinstyle="miter"/>
                <v:path gradientshapeok="t" o:connecttype="rect"/>
              </v:shapetype>
              <v:shape id="Text Box 3" o:spid="_x0000_s1026" type="#_x0000_t202" style="position:absolute;margin-left:-.1pt;margin-top:-103.45pt;width:496.2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O9FAIAACsEAAAOAAAAZHJzL2Uyb0RvYy54bWysU9tu2zAMfR+wfxD0vtjJkjQ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XH+Oh9fTckkyTafTBckxxCiePrt0Id3CloWhZIjNTWhi8O9D4Prk0sM5sHoaqONSQrutmuD&#10;7CBoADbpnNB/cjOWdSW/nk1mAwF/hcjT+RNEqwNNstFtyRdnJ1FE2t7aKs1ZENoMMlVn7InHSN1A&#10;Yui3PTlGPrdQHYlRhGFiacNIaAB/cNbRtJbcf98LVJyZ95a6cj2eRgpDUqazqwkpeGnZXlqElQRV&#10;8sDZIK7DsBJ7h3rXUKRhDizcUidrnUh+zuqUN01katNpe+LIX+rJ63nHV48AAAD//wMAUEsDBBQA&#10;BgAIAAAAIQD1eN3F4AAAAAsBAAAPAAAAZHJzL2Rvd25yZXYueG1sTI/NTsMwEITvSLyDtUhcUGs3&#10;QEhCnAohgeAGBcHVjbdJhH+C7abh7dme4LTamdHst/V6toZNGOLgnYTVUgBD13o9uE7C+9vDogAW&#10;k3JaGe9Qwg9GWDenJ7WqtD+4V5w2qWNU4mKlJPQpjRXnse3Rqrj0Izrydj5YlWgNHddBHajcGp4J&#10;kXOrBkcXejXifY/t12ZvJRRXT9NnfL58+WjznSnTxc30+B2kPD+b726BJZzTXxiO+IQODTFt/d7p&#10;yIyERUbB4xB5CYwCZZmRtCVpJYpr4E3N///Q/AIAAP//AwBQSwECLQAUAAYACAAAACEAtoM4kv4A&#10;AADhAQAAEwAAAAAAAAAAAAAAAAAAAAAAW0NvbnRlbnRfVHlwZXNdLnhtbFBLAQItABQABgAIAAAA&#10;IQA4/SH/1gAAAJQBAAALAAAAAAAAAAAAAAAAAC8BAABfcmVscy8ucmVsc1BLAQItABQABgAIAAAA&#10;IQDfh6O9FAIAACsEAAAOAAAAAAAAAAAAAAAAAC4CAABkcnMvZTJvRG9jLnhtbFBLAQItABQABgAI&#10;AAAAIQD1eN3F4AAAAAsBAAAPAAAAAAAAAAAAAAAAAG4EAABkcnMvZG93bnJldi54bWxQSwUGAAAA&#10;AAQABADzAAAAewUAAAAA&#10;">
                <v:textbox>
                  <w:txbxContent>
                    <w:p w14:paraId="58C4149E" w14:textId="77777777" w:rsidR="00E34457" w:rsidRDefault="00E34457" w:rsidP="00E34457">
                      <w:pPr>
                        <w:ind w:right="977"/>
                        <w:jc w:val="center"/>
                        <w:rPr>
                          <w:rFonts w:ascii="Calibri" w:hAnsi="Calibri" w:cs="Calibri"/>
                          <w:b/>
                          <w:sz w:val="52"/>
                          <w:szCs w:val="52"/>
                        </w:rPr>
                      </w:pPr>
                      <w:r>
                        <w:rPr>
                          <w:rFonts w:ascii="Calibri" w:hAnsi="Calibri" w:cs="Calibri"/>
                          <w:b/>
                          <w:sz w:val="52"/>
                          <w:szCs w:val="52"/>
                        </w:rPr>
                        <w:t xml:space="preserve">         OAKDALE PRIMARY SCHOOL</w:t>
                      </w:r>
                    </w:p>
                  </w:txbxContent>
                </v:textbox>
              </v:shape>
            </w:pict>
          </mc:Fallback>
        </mc:AlternateContent>
      </w:r>
    </w:p>
    <w:p w14:paraId="0835EA7D" w14:textId="6B9B7F21" w:rsidR="007934AF" w:rsidRPr="0099024B" w:rsidRDefault="000A5941" w:rsidP="007934AF">
      <w:pPr>
        <w:pStyle w:val="EPMTextstyle"/>
        <w:spacing w:after="0" w:line="720" w:lineRule="exact"/>
        <w:rPr>
          <w:color w:val="A31457"/>
          <w:sz w:val="56"/>
          <w:szCs w:val="56"/>
        </w:rPr>
      </w:pPr>
      <w:r>
        <w:rPr>
          <w:noProof/>
        </w:rPr>
        <w:drawing>
          <wp:anchor distT="0" distB="0" distL="114300" distR="114300" simplePos="0" relativeHeight="251658244" behindDoc="0" locked="0" layoutInCell="1" allowOverlap="1" wp14:anchorId="159133FE" wp14:editId="286C29D4">
            <wp:simplePos x="0" y="0"/>
            <wp:positionH relativeFrom="column">
              <wp:posOffset>2197735</wp:posOffset>
            </wp:positionH>
            <wp:positionV relativeFrom="paragraph">
              <wp:posOffset>195056</wp:posOffset>
            </wp:positionV>
            <wp:extent cx="1868556" cy="1868556"/>
            <wp:effectExtent l="0" t="0" r="0" b="0"/>
            <wp:wrapNone/>
            <wp:docPr id="910817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556" cy="1868556"/>
                    </a:xfrm>
                    <a:prstGeom prst="rect">
                      <a:avLst/>
                    </a:prstGeom>
                    <a:noFill/>
                  </pic:spPr>
                </pic:pic>
              </a:graphicData>
            </a:graphic>
            <wp14:sizeRelH relativeFrom="page">
              <wp14:pctWidth>0</wp14:pctWidth>
            </wp14:sizeRelH>
            <wp14:sizeRelV relativeFrom="page">
              <wp14:pctHeight>0</wp14:pctHeight>
            </wp14:sizeRelV>
          </wp:anchor>
        </w:drawing>
      </w:r>
    </w:p>
    <w:p w14:paraId="44FF1229" w14:textId="79BD3B5E" w:rsidR="00D55A17" w:rsidRPr="0099024B" w:rsidRDefault="00D55A17" w:rsidP="00B56C3C">
      <w:pPr>
        <w:pStyle w:val="EPMPageHeading"/>
      </w:pPr>
    </w:p>
    <w:p w14:paraId="76F598CD" w14:textId="0FA9687F" w:rsidR="00D55A17" w:rsidRPr="0099024B" w:rsidRDefault="00160019" w:rsidP="00B56C3C">
      <w:pPr>
        <w:pStyle w:val="EPMPageHeading"/>
      </w:pPr>
      <w:r>
        <w:rPr>
          <w:noProof/>
          <w:color w:val="A31457"/>
          <w:sz w:val="56"/>
          <w:szCs w:val="56"/>
        </w:rPr>
        <mc:AlternateContent>
          <mc:Choice Requires="wps">
            <w:drawing>
              <wp:anchor distT="0" distB="0" distL="114300" distR="114300" simplePos="0" relativeHeight="251658243" behindDoc="1" locked="0" layoutInCell="1" allowOverlap="1" wp14:anchorId="7E8442F4" wp14:editId="247F49F2">
                <wp:simplePos x="0" y="0"/>
                <wp:positionH relativeFrom="column">
                  <wp:posOffset>78740</wp:posOffset>
                </wp:positionH>
                <wp:positionV relativeFrom="paragraph">
                  <wp:posOffset>2027941</wp:posOffset>
                </wp:positionV>
                <wp:extent cx="6225540" cy="1897380"/>
                <wp:effectExtent l="9525" t="8890" r="13335" b="8255"/>
                <wp:wrapTight wrapText="bothSides">
                  <wp:wrapPolygon edited="0">
                    <wp:start x="-33" y="-275"/>
                    <wp:lineTo x="-33" y="21600"/>
                    <wp:lineTo x="21633" y="21600"/>
                    <wp:lineTo x="21633" y="-275"/>
                    <wp:lineTo x="-33" y="-275"/>
                  </wp:wrapPolygon>
                </wp:wrapTight>
                <wp:docPr id="38070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897380"/>
                        </a:xfrm>
                        <a:prstGeom prst="rect">
                          <a:avLst/>
                        </a:prstGeom>
                        <a:solidFill>
                          <a:srgbClr val="FFFFFF"/>
                        </a:solidFill>
                        <a:ln w="9525">
                          <a:solidFill>
                            <a:srgbClr val="000000"/>
                          </a:solidFill>
                          <a:miter lim="800000"/>
                          <a:headEnd/>
                          <a:tailEnd/>
                        </a:ln>
                      </wps:spPr>
                      <wps:txbx>
                        <w:txbxContent>
                          <w:p w14:paraId="5646A632" w14:textId="77777777" w:rsidR="00160019" w:rsidRDefault="00160019" w:rsidP="00160019">
                            <w:pPr>
                              <w:ind w:left="720" w:hanging="720"/>
                              <w:jc w:val="center"/>
                              <w:rPr>
                                <w:rFonts w:cs="Arial"/>
                                <w:sz w:val="40"/>
                                <w:szCs w:val="40"/>
                              </w:rPr>
                            </w:pPr>
                          </w:p>
                          <w:p w14:paraId="54E8CE47" w14:textId="77777777" w:rsidR="00C4002E" w:rsidRDefault="00C4002E" w:rsidP="00160019">
                            <w:pPr>
                              <w:jc w:val="center"/>
                              <w:rPr>
                                <w:rFonts w:ascii="Calibri" w:hAnsi="Calibri" w:cs="Calibri"/>
                                <w:b/>
                                <w:bCs/>
                                <w:sz w:val="72"/>
                                <w:szCs w:val="72"/>
                              </w:rPr>
                            </w:pPr>
                            <w:r>
                              <w:rPr>
                                <w:rFonts w:ascii="Calibri" w:hAnsi="Calibri" w:cs="Calibri"/>
                                <w:b/>
                                <w:bCs/>
                                <w:sz w:val="72"/>
                                <w:szCs w:val="72"/>
                              </w:rPr>
                              <w:t xml:space="preserve">Equality and Diversity </w:t>
                            </w:r>
                          </w:p>
                          <w:p w14:paraId="3564F319" w14:textId="75E1077A" w:rsidR="00160019" w:rsidRPr="00CB10A3" w:rsidRDefault="00160019" w:rsidP="00160019">
                            <w:pPr>
                              <w:jc w:val="center"/>
                              <w:rPr>
                                <w:rFonts w:ascii="Calibri" w:hAnsi="Calibri" w:cs="Calibri"/>
                                <w:b/>
                                <w:bCs/>
                                <w:sz w:val="72"/>
                                <w:szCs w:val="72"/>
                              </w:rPr>
                            </w:pPr>
                            <w:r>
                              <w:rPr>
                                <w:rFonts w:ascii="Calibri" w:hAnsi="Calibri" w:cs="Calibri"/>
                                <w:b/>
                                <w:bCs/>
                                <w:sz w:val="72"/>
                                <w:szCs w:val="72"/>
                              </w:rPr>
                              <w:t>2025.6</w:t>
                            </w:r>
                          </w:p>
                          <w:p w14:paraId="7CCED9C6" w14:textId="77777777" w:rsidR="00160019" w:rsidRDefault="00160019" w:rsidP="00160019">
                            <w:pPr>
                              <w:jc w:val="center"/>
                              <w:rPr>
                                <w:rFonts w:ascii="Calibri" w:hAnsi="Calibri" w:cs="Calibri"/>
                                <w:b/>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442F4" id="_x0000_t202" coordsize="21600,21600" o:spt="202" path="m,l,21600r21600,l21600,xe">
                <v:stroke joinstyle="miter"/>
                <v:path gradientshapeok="t" o:connecttype="rect"/>
              </v:shapetype>
              <v:shape id="Text Box 4" o:spid="_x0000_s1027" type="#_x0000_t202" style="position:absolute;margin-left:6.2pt;margin-top:159.7pt;width:490.2pt;height:149.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wEGgIAADMEAAAOAAAAZHJzL2Uyb0RvYy54bWysU81u2zAMvg/YOwi6L06ypE2MOEWXLsOA&#10;7gfo9gCKLMfCZFGjlNjZ05eS3TTotsswHQRSpD6SH8nVTdcYdlToNdiCT0ZjzpSVUGq7L/j3b9s3&#10;C858ELYUBqwq+El5frN+/WrVulxNoQZTKmQEYn3euoLXIbg8y7ysVSP8CJyyZKwAGxFIxX1WomgJ&#10;vTHZdDy+ylrA0iFI5T293vVGvk74VaVk+FJVXgVmCk65hXRjunfxztYrke9RuFrLIQ3xD1k0QlsK&#10;eoa6E0GwA+rfoBotETxUYSShyaCqtFSpBqpmMn5RzUMtnEq1EDnenWny/w9Wfj4+uK/IQvcOOmpg&#10;KsK7e5A/PLOwqYXdq1tEaGslSgo8iZRlrfP58DVS7XMfQXbtJyipyeIQIAF1FTaRFaqTETo14HQm&#10;XXWBSXq8mk7n8xmZJNkmi+X120VqSybyp+8OffigoGFRKDhSVxO8ON77ENMR+ZNLjObB6HKrjUkK&#10;7ncbg+woaAK26aQKXrgZy9qCL+fTec/AXyHG6fwJotGBRtnopuCLs5PII2/vbZkGLQhteplSNnYg&#10;MnLXsxi6Xcd0ObAced1BeSJmEfrJpU0joQb8xVlLU1tw//MgUHFmPlrqznIyi1SGpMzm11NS8NKy&#10;u7QIKwmq4IGzXtyEfjUODvW+pkj9PFi4pY5WOnH9nNWQPk1masGwRXH0L/Xk9bzr60cAAAD//wMA&#10;UEsDBBQABgAIAAAAIQClWa2M3wAAAAoBAAAPAAAAZHJzL2Rvd25yZXYueG1sTI/LTsMwEEX3SPyD&#10;NUhsUOskrUIS4lQICQS7UirYurGbRNjjYLtp+HuGFezmao7uo97M1rBJ+zA4FJAuE2AaW6cG7ATs&#10;3x4XBbAQJSppHGoB3zrAprm8qGWl3Blf9bSLHSMTDJUU0Mc4VpyHttdWhqUbNdLv6LyVkaTvuPLy&#10;TObW8CxJcm7lgJTQy1E/9Lr93J2sgGL9PH2El9X2vc2Ppow3t9PTlxfi+mq+vwMW9Rz/YPitT9Wh&#10;oU4Hd0IVmCGdrYkUsEpLOggoy4y2HATkaZEBb2r+f0LzAwAA//8DAFBLAQItABQABgAIAAAAIQC2&#10;gziS/gAAAOEBAAATAAAAAAAAAAAAAAAAAAAAAABbQ29udGVudF9UeXBlc10ueG1sUEsBAi0AFAAG&#10;AAgAAAAhADj9If/WAAAAlAEAAAsAAAAAAAAAAAAAAAAALwEAAF9yZWxzLy5yZWxzUEsBAi0AFAAG&#10;AAgAAAAhADPxPAQaAgAAMwQAAA4AAAAAAAAAAAAAAAAALgIAAGRycy9lMm9Eb2MueG1sUEsBAi0A&#10;FAAGAAgAAAAhAKVZrYzfAAAACgEAAA8AAAAAAAAAAAAAAAAAdAQAAGRycy9kb3ducmV2LnhtbFBL&#10;BQYAAAAABAAEAPMAAACABQAAAAA=&#10;">
                <v:textbox>
                  <w:txbxContent>
                    <w:p w14:paraId="5646A632" w14:textId="77777777" w:rsidR="00160019" w:rsidRDefault="00160019" w:rsidP="00160019">
                      <w:pPr>
                        <w:ind w:left="720" w:hanging="720"/>
                        <w:jc w:val="center"/>
                        <w:rPr>
                          <w:rFonts w:cs="Arial"/>
                          <w:sz w:val="40"/>
                          <w:szCs w:val="40"/>
                        </w:rPr>
                      </w:pPr>
                    </w:p>
                    <w:p w14:paraId="54E8CE47" w14:textId="77777777" w:rsidR="00C4002E" w:rsidRDefault="00C4002E" w:rsidP="00160019">
                      <w:pPr>
                        <w:jc w:val="center"/>
                        <w:rPr>
                          <w:rFonts w:ascii="Calibri" w:hAnsi="Calibri" w:cs="Calibri"/>
                          <w:b/>
                          <w:bCs/>
                          <w:sz w:val="72"/>
                          <w:szCs w:val="72"/>
                        </w:rPr>
                      </w:pPr>
                      <w:r>
                        <w:rPr>
                          <w:rFonts w:ascii="Calibri" w:hAnsi="Calibri" w:cs="Calibri"/>
                          <w:b/>
                          <w:bCs/>
                          <w:sz w:val="72"/>
                          <w:szCs w:val="72"/>
                        </w:rPr>
                        <w:t xml:space="preserve">Equality and Diversity </w:t>
                      </w:r>
                    </w:p>
                    <w:p w14:paraId="3564F319" w14:textId="75E1077A" w:rsidR="00160019" w:rsidRPr="00CB10A3" w:rsidRDefault="00160019" w:rsidP="00160019">
                      <w:pPr>
                        <w:jc w:val="center"/>
                        <w:rPr>
                          <w:rFonts w:ascii="Calibri" w:hAnsi="Calibri" w:cs="Calibri"/>
                          <w:b/>
                          <w:bCs/>
                          <w:sz w:val="72"/>
                          <w:szCs w:val="72"/>
                        </w:rPr>
                      </w:pPr>
                      <w:r>
                        <w:rPr>
                          <w:rFonts w:ascii="Calibri" w:hAnsi="Calibri" w:cs="Calibri"/>
                          <w:b/>
                          <w:bCs/>
                          <w:sz w:val="72"/>
                          <w:szCs w:val="72"/>
                        </w:rPr>
                        <w:t>2025.6</w:t>
                      </w:r>
                    </w:p>
                    <w:p w14:paraId="7CCED9C6" w14:textId="77777777" w:rsidR="00160019" w:rsidRDefault="00160019" w:rsidP="00160019">
                      <w:pPr>
                        <w:jc w:val="center"/>
                        <w:rPr>
                          <w:rFonts w:ascii="Calibri" w:hAnsi="Calibri" w:cs="Calibri"/>
                          <w:b/>
                          <w:sz w:val="52"/>
                          <w:szCs w:val="52"/>
                        </w:rPr>
                      </w:pPr>
                    </w:p>
                  </w:txbxContent>
                </v:textbox>
                <w10:wrap type="tight"/>
              </v:shape>
            </w:pict>
          </mc:Fallback>
        </mc:AlternateContent>
      </w:r>
      <w:r w:rsidR="00566160" w:rsidRPr="0099024B">
        <w:rPr>
          <w:noProof/>
          <w:lang w:eastAsia="en-GB"/>
        </w:rPr>
        <mc:AlternateContent>
          <mc:Choice Requires="wps">
            <w:drawing>
              <wp:anchor distT="0" distB="0" distL="114300" distR="114300" simplePos="0" relativeHeight="251658240" behindDoc="0" locked="0" layoutInCell="1" allowOverlap="1" wp14:anchorId="1FDE2ADA" wp14:editId="17F1881B">
                <wp:simplePos x="0" y="0"/>
                <wp:positionH relativeFrom="column">
                  <wp:posOffset>-175894</wp:posOffset>
                </wp:positionH>
                <wp:positionV relativeFrom="paragraph">
                  <wp:posOffset>2777490</wp:posOffset>
                </wp:positionV>
                <wp:extent cx="2735580" cy="33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35580" cy="330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A61FCD" w14:textId="7C4D426A" w:rsidR="002D0CB0" w:rsidRPr="002D0CB0" w:rsidRDefault="00D038C2" w:rsidP="00C856EF">
                            <w:pPr>
                              <w:pStyle w:val="Standardpolicywording"/>
                              <w:spacing w:line="340" w:lineRule="exact"/>
                              <w:rPr>
                                <w:rFonts w:cs="Arial"/>
                                <w:color w:val="A31457"/>
                                <w:sz w:val="22"/>
                                <w:szCs w:val="22"/>
                              </w:rPr>
                            </w:pPr>
                            <w:r>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2ADA" id="Text Box 1" o:spid="_x0000_s1028" type="#_x0000_t202" style="position:absolute;margin-left:-13.85pt;margin-top:218.7pt;width:215.4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rNYwIAADsFAAAOAAAAZHJzL2Uyb0RvYy54bWysVEtP3DAQvlfqf7B8L9kXhUZk0RZEVQkB&#10;KlScvY69iep4XHt2k+2vZ+xkH6W9UPVij+c938z44rJrDNsoH2qwBR+fjDhTVkJZ21XBvz/dfDjn&#10;LKCwpTBgVcG3KvDL+ft3F63L1QQqMKXyjJzYkLeu4BWiy7MsyEo1IpyAU5aEGnwjkJ5+lZVetOS9&#10;MdlkNPqYteBL50GqEIh73Qv5PPnXWkm81zooZKbglBum06dzGc9sfiHylReuquWQhviHLBpRWwq6&#10;d3UtULC1r/9w1dTSQwCNJxKaDLSupUo1UDXj0atqHivhVKqFwAluD1P4f27l3ebRPXiG3WfoqIER&#10;kNaFPBAz1tNp38SbMmUkJwi3e9hUh0wSc3I2PT09J5Ek2XQ6or5EN9nB2vmAXxQ0LBIF99SWhJbY&#10;3AbsVXcqMZiFm9qY1Bpjf2OQz56jUm8H60PCicKtUdHK2G9Ks7pMeUdGmip1ZTzbCJoHIaWymEpO&#10;fkk7ammK/RbDQT+a9lm9xXhvkSKDxb1xU1vwCaVXaZc/dinrXp+gPqo7ktgtOyqcWrPr5xLKLbXZ&#10;Q78BwcmbmnpxKwI+CE8jT+2jNcZ7OrSBtuAwUJxV4H/9jR/1aRJJyllLK1Tw8HMtvOLMfLU0o5/G&#10;s1ncufSYnZ5N6OGPJctjiV03V0BdGdOH4WQioz6aHak9NM+07YsYlUTCSopdcNyRV9gvNv0WUi0W&#10;SYm2zAm8tY9ORtcR5ThpT92z8G4YR6RBvoPdson81VT2utHSwmKNoOs0shHnHtUBf9rQNPTDbxK/&#10;gON30jr8efMXAAAA//8DAFBLAwQUAAYACAAAACEAJadmjeAAAAALAQAADwAAAGRycy9kb3ducmV2&#10;LnhtbEyPTU/DMAyG70j8h8hI3LZkW6BbaTohEFfQxofELWu8tqJxqiZby7/HnOBmy49eP2+xnXwn&#10;zjjENpCBxVyBQKqCa6k28Pb6NFuDiMmSs10gNPCNEbbl5UVhcxdG2uF5n2rBIRRza6BJqc+ljFWD&#10;3sZ56JH4dgyDt4nXoZZusCOH+04ulbqV3rbEHxrb40OD1df+5A28Px8/P7R6qR/9TT+GSUnyG2nM&#10;9dV0fwci4ZT+YPjVZ3Uo2ekQTuSi6AzMllnGqAG9yjQIJrRaLUAceFhvNMiykP87lD8AAAD//wMA&#10;UEsBAi0AFAAGAAgAAAAhALaDOJL+AAAA4QEAABMAAAAAAAAAAAAAAAAAAAAAAFtDb250ZW50X1R5&#10;cGVzXS54bWxQSwECLQAUAAYACAAAACEAOP0h/9YAAACUAQAACwAAAAAAAAAAAAAAAAAvAQAAX3Jl&#10;bHMvLnJlbHNQSwECLQAUAAYACAAAACEAX3c6zWMCAAA7BQAADgAAAAAAAAAAAAAAAAAuAgAAZHJz&#10;L2Uyb0RvYy54bWxQSwECLQAUAAYACAAAACEAJadmjeAAAAALAQAADwAAAAAAAAAAAAAAAAC9BAAA&#10;ZHJzL2Rvd25yZXYueG1sUEsFBgAAAAAEAAQA8wAAAMoFAAAAAA==&#10;" filled="f" stroked="f">
                <v:textbox>
                  <w:txbxContent>
                    <w:p w14:paraId="7DA61FCD" w14:textId="7C4D426A" w:rsidR="002D0CB0" w:rsidRPr="002D0CB0" w:rsidRDefault="00D038C2" w:rsidP="00C856EF">
                      <w:pPr>
                        <w:pStyle w:val="Standardpolicywording"/>
                        <w:spacing w:line="340" w:lineRule="exact"/>
                        <w:rPr>
                          <w:rFonts w:cs="Arial"/>
                          <w:color w:val="A31457"/>
                          <w:sz w:val="22"/>
                          <w:szCs w:val="22"/>
                        </w:rPr>
                      </w:pPr>
                      <w:r>
                        <w:rPr>
                          <w:rFonts w:cs="Arial"/>
                          <w:color w:val="A31457"/>
                          <w:sz w:val="22"/>
                          <w:szCs w:val="22"/>
                        </w:rPr>
                        <w:t>[</w:t>
                      </w:r>
                    </w:p>
                  </w:txbxContent>
                </v:textbox>
              </v:shape>
            </w:pict>
          </mc:Fallback>
        </mc:AlternateContent>
      </w:r>
      <w:r w:rsidR="00566160"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242873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731F9601" w:rsidR="004B06D6" w:rsidRPr="00B56C3C" w:rsidRDefault="004B06D6" w:rsidP="00B56C3C">
      <w:pPr>
        <w:pStyle w:val="EPMPageHeading"/>
      </w:pPr>
    </w:p>
    <w:p w14:paraId="3277E375" w14:textId="77777777" w:rsidR="00211462" w:rsidRPr="0099024B" w:rsidRDefault="00211462" w:rsidP="00B56C3C">
      <w:pPr>
        <w:pStyle w:val="EPMPageHeading"/>
      </w:pPr>
    </w:p>
    <w:p w14:paraId="3907F5CB" w14:textId="6901B3F3" w:rsidR="008566A6" w:rsidRPr="00C856EF" w:rsidRDefault="008566A6" w:rsidP="00C856EF">
      <w:pPr>
        <w:rPr>
          <w:rFonts w:cs="Arial"/>
          <w:color w:val="A41556"/>
        </w:rPr>
      </w:pPr>
      <w:r w:rsidRPr="0099024B">
        <w:t>Contents</w:t>
      </w:r>
    </w:p>
    <w:p w14:paraId="2F0A86D3" w14:textId="2219946B" w:rsidR="00405DF7" w:rsidRDefault="00597562">
      <w:pPr>
        <w:pStyle w:val="TOC1"/>
        <w:rPr>
          <w:rFonts w:asciiTheme="minorHAnsi" w:eastAsiaTheme="minorEastAsia" w:hAnsiTheme="minorHAnsi"/>
          <w:noProof/>
          <w:kern w:val="2"/>
          <w:lang w:eastAsia="en-GB"/>
          <w14:ligatures w14:val="standardContextual"/>
        </w:rPr>
      </w:pPr>
      <w:r w:rsidRPr="00597562">
        <w:fldChar w:fldCharType="begin"/>
      </w:r>
      <w:r w:rsidRPr="00597562">
        <w:instrText xml:space="preserve"> TOC \o "1-3" \h \z \t "EPM Numbered Heading,1" </w:instrText>
      </w:r>
      <w:r w:rsidRPr="00597562">
        <w:fldChar w:fldCharType="separate"/>
      </w:r>
      <w:hyperlink w:anchor="_Toc170202355" w:history="1">
        <w:r w:rsidR="00405DF7" w:rsidRPr="006F1E83">
          <w:rPr>
            <w:rStyle w:val="Hyperlink"/>
            <w:noProof/>
          </w:rPr>
          <w:t>1.</w:t>
        </w:r>
        <w:r w:rsidR="00405DF7">
          <w:rPr>
            <w:rFonts w:asciiTheme="minorHAnsi" w:eastAsiaTheme="minorEastAsia" w:hAnsiTheme="minorHAnsi"/>
            <w:noProof/>
            <w:kern w:val="2"/>
            <w:lang w:eastAsia="en-GB"/>
            <w14:ligatures w14:val="standardContextual"/>
          </w:rPr>
          <w:tab/>
        </w:r>
        <w:r w:rsidR="00405DF7" w:rsidRPr="006F1E83">
          <w:rPr>
            <w:rStyle w:val="Hyperlink"/>
            <w:noProof/>
          </w:rPr>
          <w:t>Terms of Reference</w:t>
        </w:r>
        <w:r w:rsidR="00405DF7">
          <w:rPr>
            <w:noProof/>
            <w:webHidden/>
          </w:rPr>
          <w:tab/>
        </w:r>
        <w:r w:rsidR="00405DF7">
          <w:rPr>
            <w:noProof/>
            <w:webHidden/>
          </w:rPr>
          <w:fldChar w:fldCharType="begin"/>
        </w:r>
        <w:r w:rsidR="00405DF7">
          <w:rPr>
            <w:noProof/>
            <w:webHidden/>
          </w:rPr>
          <w:instrText xml:space="preserve"> PAGEREF _Toc170202355 \h </w:instrText>
        </w:r>
        <w:r w:rsidR="00405DF7">
          <w:rPr>
            <w:noProof/>
            <w:webHidden/>
          </w:rPr>
        </w:r>
        <w:r w:rsidR="00405DF7">
          <w:rPr>
            <w:noProof/>
            <w:webHidden/>
          </w:rPr>
          <w:fldChar w:fldCharType="separate"/>
        </w:r>
        <w:r w:rsidR="00405DF7">
          <w:rPr>
            <w:noProof/>
            <w:webHidden/>
          </w:rPr>
          <w:t>4</w:t>
        </w:r>
        <w:r w:rsidR="00405DF7">
          <w:rPr>
            <w:noProof/>
            <w:webHidden/>
          </w:rPr>
          <w:fldChar w:fldCharType="end"/>
        </w:r>
      </w:hyperlink>
    </w:p>
    <w:p w14:paraId="41E31170" w14:textId="6AD58C5A" w:rsidR="00405DF7" w:rsidRDefault="00405DF7">
      <w:pPr>
        <w:pStyle w:val="TOC1"/>
        <w:rPr>
          <w:rFonts w:asciiTheme="minorHAnsi" w:eastAsiaTheme="minorEastAsia" w:hAnsiTheme="minorHAnsi"/>
          <w:noProof/>
          <w:kern w:val="2"/>
          <w:lang w:eastAsia="en-GB"/>
          <w14:ligatures w14:val="standardContextual"/>
        </w:rPr>
      </w:pPr>
      <w:hyperlink w:anchor="_Toc170202356" w:history="1">
        <w:r w:rsidRPr="006F1E83">
          <w:rPr>
            <w:rStyle w:val="Hyperlink"/>
            <w:noProof/>
          </w:rPr>
          <w:t>2.</w:t>
        </w:r>
        <w:r>
          <w:rPr>
            <w:rFonts w:asciiTheme="minorHAnsi" w:eastAsiaTheme="minorEastAsia" w:hAnsiTheme="minorHAnsi"/>
            <w:noProof/>
            <w:kern w:val="2"/>
            <w:lang w:eastAsia="en-GB"/>
            <w14:ligatures w14:val="standardContextual"/>
          </w:rPr>
          <w:tab/>
        </w:r>
        <w:r w:rsidRPr="006F1E83">
          <w:rPr>
            <w:rStyle w:val="Hyperlink"/>
            <w:noProof/>
          </w:rPr>
          <w:t>Introduction</w:t>
        </w:r>
        <w:r>
          <w:rPr>
            <w:noProof/>
            <w:webHidden/>
          </w:rPr>
          <w:tab/>
        </w:r>
        <w:r>
          <w:rPr>
            <w:noProof/>
            <w:webHidden/>
          </w:rPr>
          <w:fldChar w:fldCharType="begin"/>
        </w:r>
        <w:r>
          <w:rPr>
            <w:noProof/>
            <w:webHidden/>
          </w:rPr>
          <w:instrText xml:space="preserve"> PAGEREF _Toc170202356 \h </w:instrText>
        </w:r>
        <w:r>
          <w:rPr>
            <w:noProof/>
            <w:webHidden/>
          </w:rPr>
        </w:r>
        <w:r>
          <w:rPr>
            <w:noProof/>
            <w:webHidden/>
          </w:rPr>
          <w:fldChar w:fldCharType="separate"/>
        </w:r>
        <w:r>
          <w:rPr>
            <w:noProof/>
            <w:webHidden/>
          </w:rPr>
          <w:t>4</w:t>
        </w:r>
        <w:r>
          <w:rPr>
            <w:noProof/>
            <w:webHidden/>
          </w:rPr>
          <w:fldChar w:fldCharType="end"/>
        </w:r>
      </w:hyperlink>
    </w:p>
    <w:p w14:paraId="3F20C5C9" w14:textId="3506D11F" w:rsidR="00405DF7" w:rsidRDefault="00405DF7">
      <w:pPr>
        <w:pStyle w:val="TOC1"/>
        <w:rPr>
          <w:rFonts w:asciiTheme="minorHAnsi" w:eastAsiaTheme="minorEastAsia" w:hAnsiTheme="minorHAnsi"/>
          <w:noProof/>
          <w:kern w:val="2"/>
          <w:lang w:eastAsia="en-GB"/>
          <w14:ligatures w14:val="standardContextual"/>
        </w:rPr>
      </w:pPr>
      <w:hyperlink w:anchor="_Toc170202357" w:history="1">
        <w:r w:rsidRPr="006F1E83">
          <w:rPr>
            <w:rStyle w:val="Hyperlink"/>
            <w:noProof/>
          </w:rPr>
          <w:t>3.</w:t>
        </w:r>
        <w:r>
          <w:rPr>
            <w:rFonts w:asciiTheme="minorHAnsi" w:eastAsiaTheme="minorEastAsia" w:hAnsiTheme="minorHAnsi"/>
            <w:noProof/>
            <w:kern w:val="2"/>
            <w:lang w:eastAsia="en-GB"/>
            <w14:ligatures w14:val="standardContextual"/>
          </w:rPr>
          <w:tab/>
        </w:r>
        <w:r w:rsidRPr="006F1E83">
          <w:rPr>
            <w:rStyle w:val="Hyperlink"/>
            <w:noProof/>
          </w:rPr>
          <w:t>Scope and Purpose of the Policy</w:t>
        </w:r>
        <w:r>
          <w:rPr>
            <w:noProof/>
            <w:webHidden/>
          </w:rPr>
          <w:tab/>
        </w:r>
        <w:r>
          <w:rPr>
            <w:noProof/>
            <w:webHidden/>
          </w:rPr>
          <w:fldChar w:fldCharType="begin"/>
        </w:r>
        <w:r>
          <w:rPr>
            <w:noProof/>
            <w:webHidden/>
          </w:rPr>
          <w:instrText xml:space="preserve"> PAGEREF _Toc170202357 \h </w:instrText>
        </w:r>
        <w:r>
          <w:rPr>
            <w:noProof/>
            <w:webHidden/>
          </w:rPr>
        </w:r>
        <w:r>
          <w:rPr>
            <w:noProof/>
            <w:webHidden/>
          </w:rPr>
          <w:fldChar w:fldCharType="separate"/>
        </w:r>
        <w:r>
          <w:rPr>
            <w:noProof/>
            <w:webHidden/>
          </w:rPr>
          <w:t>4</w:t>
        </w:r>
        <w:r>
          <w:rPr>
            <w:noProof/>
            <w:webHidden/>
          </w:rPr>
          <w:fldChar w:fldCharType="end"/>
        </w:r>
      </w:hyperlink>
    </w:p>
    <w:p w14:paraId="67509086" w14:textId="19405BDF" w:rsidR="00405DF7" w:rsidRDefault="00405DF7">
      <w:pPr>
        <w:pStyle w:val="TOC1"/>
        <w:rPr>
          <w:rFonts w:asciiTheme="minorHAnsi" w:eastAsiaTheme="minorEastAsia" w:hAnsiTheme="minorHAnsi"/>
          <w:noProof/>
          <w:kern w:val="2"/>
          <w:lang w:eastAsia="en-GB"/>
          <w14:ligatures w14:val="standardContextual"/>
        </w:rPr>
      </w:pPr>
      <w:hyperlink w:anchor="_Toc170202358" w:history="1">
        <w:r w:rsidRPr="006F1E83">
          <w:rPr>
            <w:rStyle w:val="Hyperlink"/>
            <w:noProof/>
          </w:rPr>
          <w:t>4.</w:t>
        </w:r>
        <w:r>
          <w:rPr>
            <w:rFonts w:asciiTheme="minorHAnsi" w:eastAsiaTheme="minorEastAsia" w:hAnsiTheme="minorHAnsi"/>
            <w:noProof/>
            <w:kern w:val="2"/>
            <w:lang w:eastAsia="en-GB"/>
            <w14:ligatures w14:val="standardContextual"/>
          </w:rPr>
          <w:tab/>
        </w:r>
        <w:r w:rsidRPr="006F1E83">
          <w:rPr>
            <w:rStyle w:val="Hyperlink"/>
            <w:noProof/>
          </w:rPr>
          <w:t>Protected Characteristics</w:t>
        </w:r>
        <w:r>
          <w:rPr>
            <w:noProof/>
            <w:webHidden/>
          </w:rPr>
          <w:tab/>
        </w:r>
        <w:r>
          <w:rPr>
            <w:noProof/>
            <w:webHidden/>
          </w:rPr>
          <w:fldChar w:fldCharType="begin"/>
        </w:r>
        <w:r>
          <w:rPr>
            <w:noProof/>
            <w:webHidden/>
          </w:rPr>
          <w:instrText xml:space="preserve"> PAGEREF _Toc170202358 \h </w:instrText>
        </w:r>
        <w:r>
          <w:rPr>
            <w:noProof/>
            <w:webHidden/>
          </w:rPr>
        </w:r>
        <w:r>
          <w:rPr>
            <w:noProof/>
            <w:webHidden/>
          </w:rPr>
          <w:fldChar w:fldCharType="separate"/>
        </w:r>
        <w:r>
          <w:rPr>
            <w:noProof/>
            <w:webHidden/>
          </w:rPr>
          <w:t>5</w:t>
        </w:r>
        <w:r>
          <w:rPr>
            <w:noProof/>
            <w:webHidden/>
          </w:rPr>
          <w:fldChar w:fldCharType="end"/>
        </w:r>
      </w:hyperlink>
    </w:p>
    <w:p w14:paraId="18C56316" w14:textId="49023EF5" w:rsidR="00405DF7" w:rsidRDefault="00405DF7">
      <w:pPr>
        <w:pStyle w:val="TOC1"/>
        <w:rPr>
          <w:rFonts w:asciiTheme="minorHAnsi" w:eastAsiaTheme="minorEastAsia" w:hAnsiTheme="minorHAnsi"/>
          <w:noProof/>
          <w:kern w:val="2"/>
          <w:lang w:eastAsia="en-GB"/>
          <w14:ligatures w14:val="standardContextual"/>
        </w:rPr>
      </w:pPr>
      <w:hyperlink w:anchor="_Toc170202359" w:history="1">
        <w:r w:rsidRPr="006F1E83">
          <w:rPr>
            <w:rStyle w:val="Hyperlink"/>
            <w:noProof/>
          </w:rPr>
          <w:t>5.</w:t>
        </w:r>
        <w:r>
          <w:rPr>
            <w:rFonts w:asciiTheme="minorHAnsi" w:eastAsiaTheme="minorEastAsia" w:hAnsiTheme="minorHAnsi"/>
            <w:noProof/>
            <w:kern w:val="2"/>
            <w:lang w:eastAsia="en-GB"/>
            <w14:ligatures w14:val="standardContextual"/>
          </w:rPr>
          <w:tab/>
        </w:r>
        <w:r w:rsidRPr="006F1E83">
          <w:rPr>
            <w:rStyle w:val="Hyperlink"/>
            <w:noProof/>
          </w:rPr>
          <w:t>How can you be Discriminated Against?</w:t>
        </w:r>
        <w:r>
          <w:rPr>
            <w:noProof/>
            <w:webHidden/>
          </w:rPr>
          <w:tab/>
        </w:r>
        <w:r>
          <w:rPr>
            <w:noProof/>
            <w:webHidden/>
          </w:rPr>
          <w:fldChar w:fldCharType="begin"/>
        </w:r>
        <w:r>
          <w:rPr>
            <w:noProof/>
            <w:webHidden/>
          </w:rPr>
          <w:instrText xml:space="preserve"> PAGEREF _Toc170202359 \h </w:instrText>
        </w:r>
        <w:r>
          <w:rPr>
            <w:noProof/>
            <w:webHidden/>
          </w:rPr>
        </w:r>
        <w:r>
          <w:rPr>
            <w:noProof/>
            <w:webHidden/>
          </w:rPr>
          <w:fldChar w:fldCharType="separate"/>
        </w:r>
        <w:r>
          <w:rPr>
            <w:noProof/>
            <w:webHidden/>
          </w:rPr>
          <w:t>5</w:t>
        </w:r>
        <w:r>
          <w:rPr>
            <w:noProof/>
            <w:webHidden/>
          </w:rPr>
          <w:fldChar w:fldCharType="end"/>
        </w:r>
      </w:hyperlink>
    </w:p>
    <w:p w14:paraId="677706E0" w14:textId="5C9C312C" w:rsidR="00405DF7" w:rsidRDefault="00405DF7">
      <w:pPr>
        <w:pStyle w:val="TOC1"/>
        <w:rPr>
          <w:rFonts w:asciiTheme="minorHAnsi" w:eastAsiaTheme="minorEastAsia" w:hAnsiTheme="minorHAnsi"/>
          <w:noProof/>
          <w:kern w:val="2"/>
          <w:lang w:eastAsia="en-GB"/>
          <w14:ligatures w14:val="standardContextual"/>
        </w:rPr>
      </w:pPr>
      <w:hyperlink w:anchor="_Toc170202360" w:history="1">
        <w:r w:rsidRPr="006F1E83">
          <w:rPr>
            <w:rStyle w:val="Hyperlink"/>
            <w:noProof/>
          </w:rPr>
          <w:t>6.</w:t>
        </w:r>
        <w:r>
          <w:rPr>
            <w:rFonts w:asciiTheme="minorHAnsi" w:eastAsiaTheme="minorEastAsia" w:hAnsiTheme="minorHAnsi"/>
            <w:noProof/>
            <w:kern w:val="2"/>
            <w:lang w:eastAsia="en-GB"/>
            <w14:ligatures w14:val="standardContextual"/>
          </w:rPr>
          <w:tab/>
        </w:r>
        <w:r w:rsidRPr="006F1E83">
          <w:rPr>
            <w:rStyle w:val="Hyperlink"/>
            <w:noProof/>
          </w:rPr>
          <w:t>Employee Training and Promotion</w:t>
        </w:r>
        <w:r>
          <w:rPr>
            <w:noProof/>
            <w:webHidden/>
          </w:rPr>
          <w:tab/>
        </w:r>
        <w:r>
          <w:rPr>
            <w:noProof/>
            <w:webHidden/>
          </w:rPr>
          <w:fldChar w:fldCharType="begin"/>
        </w:r>
        <w:r>
          <w:rPr>
            <w:noProof/>
            <w:webHidden/>
          </w:rPr>
          <w:instrText xml:space="preserve"> PAGEREF _Toc170202360 \h </w:instrText>
        </w:r>
        <w:r>
          <w:rPr>
            <w:noProof/>
            <w:webHidden/>
          </w:rPr>
        </w:r>
        <w:r>
          <w:rPr>
            <w:noProof/>
            <w:webHidden/>
          </w:rPr>
          <w:fldChar w:fldCharType="separate"/>
        </w:r>
        <w:r>
          <w:rPr>
            <w:noProof/>
            <w:webHidden/>
          </w:rPr>
          <w:t>6</w:t>
        </w:r>
        <w:r>
          <w:rPr>
            <w:noProof/>
            <w:webHidden/>
          </w:rPr>
          <w:fldChar w:fldCharType="end"/>
        </w:r>
      </w:hyperlink>
    </w:p>
    <w:p w14:paraId="77F73F25" w14:textId="69975F38" w:rsidR="00405DF7" w:rsidRDefault="00405DF7">
      <w:pPr>
        <w:pStyle w:val="TOC1"/>
        <w:rPr>
          <w:rFonts w:asciiTheme="minorHAnsi" w:eastAsiaTheme="minorEastAsia" w:hAnsiTheme="minorHAnsi"/>
          <w:noProof/>
          <w:kern w:val="2"/>
          <w:lang w:eastAsia="en-GB"/>
          <w14:ligatures w14:val="standardContextual"/>
        </w:rPr>
      </w:pPr>
      <w:hyperlink w:anchor="_Toc170202361" w:history="1">
        <w:r w:rsidRPr="006F1E83">
          <w:rPr>
            <w:rStyle w:val="Hyperlink"/>
            <w:noProof/>
          </w:rPr>
          <w:t>7.</w:t>
        </w:r>
        <w:r>
          <w:rPr>
            <w:rFonts w:asciiTheme="minorHAnsi" w:eastAsiaTheme="minorEastAsia" w:hAnsiTheme="minorHAnsi"/>
            <w:noProof/>
            <w:kern w:val="2"/>
            <w:lang w:eastAsia="en-GB"/>
            <w14:ligatures w14:val="standardContextual"/>
          </w:rPr>
          <w:tab/>
        </w:r>
        <w:r w:rsidRPr="006F1E83">
          <w:rPr>
            <w:rStyle w:val="Hyperlink"/>
            <w:noProof/>
          </w:rPr>
          <w:t>[Support/Resource Groups</w:t>
        </w:r>
        <w:r>
          <w:rPr>
            <w:noProof/>
            <w:webHidden/>
          </w:rPr>
          <w:tab/>
        </w:r>
        <w:r>
          <w:rPr>
            <w:noProof/>
            <w:webHidden/>
          </w:rPr>
          <w:fldChar w:fldCharType="begin"/>
        </w:r>
        <w:r>
          <w:rPr>
            <w:noProof/>
            <w:webHidden/>
          </w:rPr>
          <w:instrText xml:space="preserve"> PAGEREF _Toc170202361 \h </w:instrText>
        </w:r>
        <w:r>
          <w:rPr>
            <w:noProof/>
            <w:webHidden/>
          </w:rPr>
        </w:r>
        <w:r>
          <w:rPr>
            <w:noProof/>
            <w:webHidden/>
          </w:rPr>
          <w:fldChar w:fldCharType="separate"/>
        </w:r>
        <w:r>
          <w:rPr>
            <w:noProof/>
            <w:webHidden/>
          </w:rPr>
          <w:t>6</w:t>
        </w:r>
        <w:r>
          <w:rPr>
            <w:noProof/>
            <w:webHidden/>
          </w:rPr>
          <w:fldChar w:fldCharType="end"/>
        </w:r>
      </w:hyperlink>
    </w:p>
    <w:p w14:paraId="633E6859" w14:textId="75413921" w:rsidR="00405DF7" w:rsidRDefault="008B38EA">
      <w:pPr>
        <w:pStyle w:val="TOC1"/>
        <w:rPr>
          <w:rFonts w:asciiTheme="minorHAnsi" w:eastAsiaTheme="minorEastAsia" w:hAnsiTheme="minorHAnsi"/>
          <w:noProof/>
          <w:kern w:val="2"/>
          <w:lang w:eastAsia="en-GB"/>
          <w14:ligatures w14:val="standardContextual"/>
        </w:rPr>
      </w:pPr>
      <w:hyperlink w:anchor="_Toc170202363" w:history="1">
        <w:r>
          <w:rPr>
            <w:rStyle w:val="Hyperlink"/>
            <w:noProof/>
          </w:rPr>
          <w:t>8</w:t>
        </w:r>
        <w:r w:rsidR="00405DF7" w:rsidRPr="006F1E83">
          <w:rPr>
            <w:rStyle w:val="Hyperlink"/>
            <w:noProof/>
          </w:rPr>
          <w:t>.</w:t>
        </w:r>
        <w:r w:rsidR="00405DF7">
          <w:rPr>
            <w:rFonts w:asciiTheme="minorHAnsi" w:eastAsiaTheme="minorEastAsia" w:hAnsiTheme="minorHAnsi"/>
            <w:noProof/>
            <w:kern w:val="2"/>
            <w:lang w:eastAsia="en-GB"/>
            <w14:ligatures w14:val="standardContextual"/>
          </w:rPr>
          <w:tab/>
        </w:r>
        <w:r w:rsidR="00405DF7" w:rsidRPr="006F1E83">
          <w:rPr>
            <w:rStyle w:val="Hyperlink"/>
            <w:noProof/>
          </w:rPr>
          <w:t>Discipline and Termination of Employment</w:t>
        </w:r>
        <w:r w:rsidR="00405DF7">
          <w:rPr>
            <w:noProof/>
            <w:webHidden/>
          </w:rPr>
          <w:tab/>
        </w:r>
        <w:r w:rsidR="00405DF7">
          <w:rPr>
            <w:noProof/>
            <w:webHidden/>
          </w:rPr>
          <w:fldChar w:fldCharType="begin"/>
        </w:r>
        <w:r w:rsidR="00405DF7">
          <w:rPr>
            <w:noProof/>
            <w:webHidden/>
          </w:rPr>
          <w:instrText xml:space="preserve"> PAGEREF _Toc170202363 \h </w:instrText>
        </w:r>
        <w:r w:rsidR="00405DF7">
          <w:rPr>
            <w:noProof/>
            <w:webHidden/>
          </w:rPr>
        </w:r>
        <w:r w:rsidR="00405DF7">
          <w:rPr>
            <w:noProof/>
            <w:webHidden/>
          </w:rPr>
          <w:fldChar w:fldCharType="separate"/>
        </w:r>
        <w:r w:rsidR="00405DF7">
          <w:rPr>
            <w:noProof/>
            <w:webHidden/>
          </w:rPr>
          <w:t>7</w:t>
        </w:r>
        <w:r w:rsidR="00405DF7">
          <w:rPr>
            <w:noProof/>
            <w:webHidden/>
          </w:rPr>
          <w:fldChar w:fldCharType="end"/>
        </w:r>
      </w:hyperlink>
    </w:p>
    <w:p w14:paraId="6C360C8D" w14:textId="5787CEDA" w:rsidR="00405DF7" w:rsidRDefault="008B38EA">
      <w:pPr>
        <w:pStyle w:val="TOC1"/>
        <w:rPr>
          <w:rFonts w:asciiTheme="minorHAnsi" w:eastAsiaTheme="minorEastAsia" w:hAnsiTheme="minorHAnsi"/>
          <w:noProof/>
          <w:kern w:val="2"/>
          <w:lang w:eastAsia="en-GB"/>
          <w14:ligatures w14:val="standardContextual"/>
        </w:rPr>
      </w:pPr>
      <w:hyperlink w:anchor="_Toc170202364" w:history="1">
        <w:r>
          <w:rPr>
            <w:rStyle w:val="Hyperlink"/>
            <w:noProof/>
          </w:rPr>
          <w:t>9</w:t>
        </w:r>
        <w:r w:rsidR="00405DF7" w:rsidRPr="006F1E83">
          <w:rPr>
            <w:rStyle w:val="Hyperlink"/>
            <w:noProof/>
          </w:rPr>
          <w:t>.</w:t>
        </w:r>
        <w:r w:rsidR="00405DF7">
          <w:rPr>
            <w:rFonts w:asciiTheme="minorHAnsi" w:eastAsiaTheme="minorEastAsia" w:hAnsiTheme="minorHAnsi"/>
            <w:noProof/>
            <w:kern w:val="2"/>
            <w:lang w:eastAsia="en-GB"/>
            <w14:ligatures w14:val="standardContextual"/>
          </w:rPr>
          <w:tab/>
        </w:r>
        <w:r w:rsidR="00405DF7" w:rsidRPr="006F1E83">
          <w:rPr>
            <w:rStyle w:val="Hyperlink"/>
            <w:noProof/>
          </w:rPr>
          <w:t>Disability Discrimination</w:t>
        </w:r>
        <w:r w:rsidR="00405DF7">
          <w:rPr>
            <w:noProof/>
            <w:webHidden/>
          </w:rPr>
          <w:tab/>
        </w:r>
        <w:r w:rsidR="00405DF7">
          <w:rPr>
            <w:noProof/>
            <w:webHidden/>
          </w:rPr>
          <w:fldChar w:fldCharType="begin"/>
        </w:r>
        <w:r w:rsidR="00405DF7">
          <w:rPr>
            <w:noProof/>
            <w:webHidden/>
          </w:rPr>
          <w:instrText xml:space="preserve"> PAGEREF _Toc170202364 \h </w:instrText>
        </w:r>
        <w:r w:rsidR="00405DF7">
          <w:rPr>
            <w:noProof/>
            <w:webHidden/>
          </w:rPr>
        </w:r>
        <w:r w:rsidR="00405DF7">
          <w:rPr>
            <w:noProof/>
            <w:webHidden/>
          </w:rPr>
          <w:fldChar w:fldCharType="separate"/>
        </w:r>
        <w:r w:rsidR="00405DF7">
          <w:rPr>
            <w:noProof/>
            <w:webHidden/>
          </w:rPr>
          <w:t>7</w:t>
        </w:r>
        <w:r w:rsidR="00405DF7">
          <w:rPr>
            <w:noProof/>
            <w:webHidden/>
          </w:rPr>
          <w:fldChar w:fldCharType="end"/>
        </w:r>
      </w:hyperlink>
    </w:p>
    <w:p w14:paraId="708C5E7A" w14:textId="2A211B1C" w:rsidR="00405DF7" w:rsidRDefault="00405DF7">
      <w:pPr>
        <w:pStyle w:val="TOC1"/>
        <w:rPr>
          <w:rFonts w:asciiTheme="minorHAnsi" w:eastAsiaTheme="minorEastAsia" w:hAnsiTheme="minorHAnsi"/>
          <w:noProof/>
          <w:kern w:val="2"/>
          <w:lang w:eastAsia="en-GB"/>
          <w14:ligatures w14:val="standardContextual"/>
        </w:rPr>
      </w:pPr>
      <w:hyperlink w:anchor="_Toc170202365" w:history="1">
        <w:r w:rsidRPr="006F1E83">
          <w:rPr>
            <w:rStyle w:val="Hyperlink"/>
            <w:noProof/>
          </w:rPr>
          <w:t>1</w:t>
        </w:r>
        <w:r w:rsidR="00FA43AC">
          <w:rPr>
            <w:rStyle w:val="Hyperlink"/>
            <w:noProof/>
          </w:rPr>
          <w:t>0</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Fixed-term Employees, Casual and Agency Workers</w:t>
        </w:r>
        <w:r>
          <w:rPr>
            <w:noProof/>
            <w:webHidden/>
          </w:rPr>
          <w:tab/>
        </w:r>
        <w:r>
          <w:rPr>
            <w:noProof/>
            <w:webHidden/>
          </w:rPr>
          <w:fldChar w:fldCharType="begin"/>
        </w:r>
        <w:r>
          <w:rPr>
            <w:noProof/>
            <w:webHidden/>
          </w:rPr>
          <w:instrText xml:space="preserve"> PAGEREF _Toc170202365 \h </w:instrText>
        </w:r>
        <w:r>
          <w:rPr>
            <w:noProof/>
            <w:webHidden/>
          </w:rPr>
        </w:r>
        <w:r>
          <w:rPr>
            <w:noProof/>
            <w:webHidden/>
          </w:rPr>
          <w:fldChar w:fldCharType="separate"/>
        </w:r>
        <w:r>
          <w:rPr>
            <w:noProof/>
            <w:webHidden/>
          </w:rPr>
          <w:t>7</w:t>
        </w:r>
        <w:r>
          <w:rPr>
            <w:noProof/>
            <w:webHidden/>
          </w:rPr>
          <w:fldChar w:fldCharType="end"/>
        </w:r>
      </w:hyperlink>
    </w:p>
    <w:p w14:paraId="541165D4" w14:textId="23D44CD6" w:rsidR="00405DF7" w:rsidRDefault="00405DF7">
      <w:pPr>
        <w:pStyle w:val="TOC1"/>
        <w:rPr>
          <w:rFonts w:asciiTheme="minorHAnsi" w:eastAsiaTheme="minorEastAsia" w:hAnsiTheme="minorHAnsi"/>
          <w:noProof/>
          <w:kern w:val="2"/>
          <w:lang w:eastAsia="en-GB"/>
          <w14:ligatures w14:val="standardContextual"/>
        </w:rPr>
      </w:pPr>
      <w:hyperlink w:anchor="_Toc170202366" w:history="1">
        <w:r w:rsidRPr="006F1E83">
          <w:rPr>
            <w:rStyle w:val="Hyperlink"/>
            <w:noProof/>
          </w:rPr>
          <w:t>1</w:t>
        </w:r>
        <w:r w:rsidR="00FA43AC">
          <w:rPr>
            <w:rStyle w:val="Hyperlink"/>
            <w:noProof/>
          </w:rPr>
          <w:t>1</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Part-time Work</w:t>
        </w:r>
        <w:r>
          <w:rPr>
            <w:noProof/>
            <w:webHidden/>
          </w:rPr>
          <w:tab/>
        </w:r>
        <w:r>
          <w:rPr>
            <w:noProof/>
            <w:webHidden/>
          </w:rPr>
          <w:fldChar w:fldCharType="begin"/>
        </w:r>
        <w:r>
          <w:rPr>
            <w:noProof/>
            <w:webHidden/>
          </w:rPr>
          <w:instrText xml:space="preserve"> PAGEREF _Toc170202366 \h </w:instrText>
        </w:r>
        <w:r>
          <w:rPr>
            <w:noProof/>
            <w:webHidden/>
          </w:rPr>
        </w:r>
        <w:r>
          <w:rPr>
            <w:noProof/>
            <w:webHidden/>
          </w:rPr>
          <w:fldChar w:fldCharType="separate"/>
        </w:r>
        <w:r>
          <w:rPr>
            <w:noProof/>
            <w:webHidden/>
          </w:rPr>
          <w:t>7</w:t>
        </w:r>
        <w:r>
          <w:rPr>
            <w:noProof/>
            <w:webHidden/>
          </w:rPr>
          <w:fldChar w:fldCharType="end"/>
        </w:r>
      </w:hyperlink>
    </w:p>
    <w:p w14:paraId="3A7C6B6E" w14:textId="5AA32FAC" w:rsidR="00405DF7" w:rsidRDefault="00405DF7">
      <w:pPr>
        <w:pStyle w:val="TOC1"/>
        <w:rPr>
          <w:rFonts w:asciiTheme="minorHAnsi" w:eastAsiaTheme="minorEastAsia" w:hAnsiTheme="minorHAnsi"/>
          <w:noProof/>
          <w:kern w:val="2"/>
          <w:lang w:eastAsia="en-GB"/>
          <w14:ligatures w14:val="standardContextual"/>
        </w:rPr>
      </w:pPr>
      <w:hyperlink w:anchor="_Toc170202367" w:history="1">
        <w:r w:rsidRPr="006F1E83">
          <w:rPr>
            <w:rStyle w:val="Hyperlink"/>
            <w:noProof/>
          </w:rPr>
          <w:t>1</w:t>
        </w:r>
        <w:r w:rsidR="00FA43AC">
          <w:rPr>
            <w:rStyle w:val="Hyperlink"/>
            <w:noProof/>
          </w:rPr>
          <w:t>2</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Breaches of this Policy</w:t>
        </w:r>
        <w:r>
          <w:rPr>
            <w:noProof/>
            <w:webHidden/>
          </w:rPr>
          <w:tab/>
        </w:r>
        <w:r>
          <w:rPr>
            <w:noProof/>
            <w:webHidden/>
          </w:rPr>
          <w:fldChar w:fldCharType="begin"/>
        </w:r>
        <w:r>
          <w:rPr>
            <w:noProof/>
            <w:webHidden/>
          </w:rPr>
          <w:instrText xml:space="preserve"> PAGEREF _Toc170202367 \h </w:instrText>
        </w:r>
        <w:r>
          <w:rPr>
            <w:noProof/>
            <w:webHidden/>
          </w:rPr>
        </w:r>
        <w:r>
          <w:rPr>
            <w:noProof/>
            <w:webHidden/>
          </w:rPr>
          <w:fldChar w:fldCharType="separate"/>
        </w:r>
        <w:r>
          <w:rPr>
            <w:noProof/>
            <w:webHidden/>
          </w:rPr>
          <w:t>7</w:t>
        </w:r>
        <w:r>
          <w:rPr>
            <w:noProof/>
            <w:webHidden/>
          </w:rPr>
          <w:fldChar w:fldCharType="end"/>
        </w:r>
      </w:hyperlink>
    </w:p>
    <w:p w14:paraId="523226A3" w14:textId="6866AC50" w:rsidR="00405DF7" w:rsidRDefault="00405DF7">
      <w:pPr>
        <w:pStyle w:val="TOC1"/>
        <w:rPr>
          <w:noProof/>
        </w:rPr>
      </w:pPr>
      <w:hyperlink w:anchor="_Toc170202368" w:history="1">
        <w:r w:rsidRPr="006F1E83">
          <w:rPr>
            <w:rStyle w:val="Hyperlink"/>
            <w:noProof/>
          </w:rPr>
          <w:t>1</w:t>
        </w:r>
        <w:r w:rsidR="00FA43AC">
          <w:rPr>
            <w:rStyle w:val="Hyperlink"/>
            <w:noProof/>
          </w:rPr>
          <w:t>3</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Who is Responsible for this Policy?</w:t>
        </w:r>
        <w:r>
          <w:rPr>
            <w:noProof/>
            <w:webHidden/>
          </w:rPr>
          <w:tab/>
        </w:r>
        <w:r>
          <w:rPr>
            <w:noProof/>
            <w:webHidden/>
          </w:rPr>
          <w:fldChar w:fldCharType="begin"/>
        </w:r>
        <w:r>
          <w:rPr>
            <w:noProof/>
            <w:webHidden/>
          </w:rPr>
          <w:instrText xml:space="preserve"> PAGEREF _Toc170202368 \h </w:instrText>
        </w:r>
        <w:r>
          <w:rPr>
            <w:noProof/>
            <w:webHidden/>
          </w:rPr>
        </w:r>
        <w:r>
          <w:rPr>
            <w:noProof/>
            <w:webHidden/>
          </w:rPr>
          <w:fldChar w:fldCharType="separate"/>
        </w:r>
        <w:r>
          <w:rPr>
            <w:noProof/>
            <w:webHidden/>
          </w:rPr>
          <w:t>8</w:t>
        </w:r>
        <w:r>
          <w:rPr>
            <w:noProof/>
            <w:webHidden/>
          </w:rPr>
          <w:fldChar w:fldCharType="end"/>
        </w:r>
      </w:hyperlink>
    </w:p>
    <w:p w14:paraId="5A583E6A" w14:textId="58808CB8" w:rsidR="00C856EF" w:rsidRDefault="00C856EF" w:rsidP="00C856EF">
      <w:r>
        <w:t>14. Appendix A</w:t>
      </w:r>
    </w:p>
    <w:p w14:paraId="04741CF5" w14:textId="36FE7195" w:rsidR="00C856EF" w:rsidRPr="00C856EF" w:rsidRDefault="00C856EF" w:rsidP="00C856EF">
      <w:r>
        <w:t xml:space="preserve"> Prompt sheet for Induction or conversations regarding reasonable adjustments</w:t>
      </w:r>
    </w:p>
    <w:p w14:paraId="55B74C4B" w14:textId="3AF24FC6" w:rsidR="008566A6" w:rsidRPr="0099024B" w:rsidRDefault="00597562" w:rsidP="00D87A94">
      <w:pPr>
        <w:pStyle w:val="EPMTextstyle"/>
      </w:pPr>
      <w:r w:rsidRPr="00597562">
        <w:rPr>
          <w:szCs w:val="21"/>
        </w:rPr>
        <w:fldChar w:fldCharType="end"/>
      </w:r>
    </w:p>
    <w:p w14:paraId="5E2697C9" w14:textId="65E53B22" w:rsidR="008566A6" w:rsidRPr="0099024B" w:rsidRDefault="008566A6">
      <w:pPr>
        <w:rPr>
          <w:rFonts w:cs="Arial"/>
          <w:sz w:val="21"/>
          <w:szCs w:val="20"/>
        </w:rPr>
      </w:pPr>
      <w:r w:rsidRPr="0099024B">
        <w:rPr>
          <w:rFonts w:cs="Arial"/>
        </w:rPr>
        <w:br w:type="page"/>
      </w:r>
    </w:p>
    <w:p w14:paraId="6DA0755C" w14:textId="72636C5B" w:rsidR="00274850" w:rsidRDefault="00237372" w:rsidP="00237372">
      <w:pPr>
        <w:pStyle w:val="EPMPageHeading"/>
      </w:pPr>
      <w:r>
        <w:lastRenderedPageBreak/>
        <w:t>Equality</w:t>
      </w:r>
      <w:r w:rsidR="00DE36AC">
        <w:t xml:space="preserve">, </w:t>
      </w:r>
      <w:r>
        <w:t>Diversity</w:t>
      </w:r>
      <w:r w:rsidR="00DE36AC">
        <w:t xml:space="preserve"> and Inclusion</w:t>
      </w:r>
      <w:r>
        <w:t xml:space="preserve"> Policy for Staff</w:t>
      </w:r>
    </w:p>
    <w:p w14:paraId="6021661E" w14:textId="4D1EA57C" w:rsidR="00237372" w:rsidRPr="009154B6" w:rsidRDefault="00237372" w:rsidP="008619F1">
      <w:pPr>
        <w:pStyle w:val="EPMNumberedHeading"/>
        <w:ind w:left="357" w:hanging="357"/>
      </w:pPr>
      <w:bookmarkStart w:id="0" w:name="_Toc170202355"/>
      <w:r w:rsidRPr="009154B6">
        <w:t>Terms of Reference</w:t>
      </w:r>
      <w:bookmarkEnd w:id="0"/>
    </w:p>
    <w:p w14:paraId="3852C947" w14:textId="2A4B6110" w:rsidR="004D2DC9" w:rsidRPr="004D2DC9" w:rsidRDefault="00237372" w:rsidP="004D2DC9">
      <w:pPr>
        <w:pStyle w:val="EPMNumberedSubheading"/>
        <w:rPr>
          <w:rStyle w:val="EPMBracketChar"/>
          <w:color w:val="auto"/>
          <w:szCs w:val="21"/>
        </w:rPr>
      </w:pPr>
      <w:r w:rsidRPr="004D2DC9">
        <w:rPr>
          <w:szCs w:val="21"/>
        </w:rPr>
        <w:t xml:space="preserve">For all employees, governors and volunteers employed or appointed by the Governing Body of </w:t>
      </w:r>
      <w:r w:rsidR="00C856EF">
        <w:rPr>
          <w:rStyle w:val="EPMBracketChar"/>
          <w:szCs w:val="21"/>
        </w:rPr>
        <w:t>Oakdale Primary School</w:t>
      </w:r>
    </w:p>
    <w:p w14:paraId="26CB5CB8" w14:textId="53427A18" w:rsidR="0073129F" w:rsidRDefault="0073129F" w:rsidP="008619F1">
      <w:pPr>
        <w:pStyle w:val="EPMNumberedHeading"/>
        <w:ind w:left="357" w:hanging="357"/>
      </w:pPr>
      <w:bookmarkStart w:id="1" w:name="_Toc170202356"/>
      <w:r>
        <w:t>Introduction</w:t>
      </w:r>
      <w:bookmarkEnd w:id="1"/>
    </w:p>
    <w:p w14:paraId="62B0BEFB" w14:textId="73B2EB40" w:rsidR="0073129F" w:rsidRPr="005A65F1" w:rsidRDefault="0073129F" w:rsidP="000F303F">
      <w:pPr>
        <w:pStyle w:val="EPMNumberedSubheading"/>
      </w:pPr>
      <w:r>
        <w:t xml:space="preserve">The </w:t>
      </w:r>
      <w:proofErr w:type="gramStart"/>
      <w:r>
        <w:t>School</w:t>
      </w:r>
      <w:proofErr w:type="gramEnd"/>
      <w:r>
        <w:t xml:space="preserve"> is committed to promoting equality of opportunity for all employees and job applicants</w:t>
      </w:r>
      <w:r w:rsidR="00DE36AC">
        <w:t xml:space="preserve"> and eliminating unlawful discrimination</w:t>
      </w:r>
      <w:r>
        <w:t>. We aim to create a supportive and inclusive working environment</w:t>
      </w:r>
      <w:r w:rsidR="009A5607">
        <w:t>, where people’s unique differences are valued and</w:t>
      </w:r>
      <w:r>
        <w:t xml:space="preserve"> in which all individuals can make the best use of their skills, free from discrimination</w:t>
      </w:r>
      <w:r w:rsidR="38EB877C">
        <w:t>, bullying, victimisation or harassment,</w:t>
      </w:r>
      <w:r>
        <w:t xml:space="preserve"> and in which all decisions are based on merit.</w:t>
      </w:r>
      <w:r w:rsidR="00DE36AC">
        <w:t xml:space="preserve"> The </w:t>
      </w:r>
      <w:proofErr w:type="gramStart"/>
      <w:r w:rsidR="00DE36AC">
        <w:t>School</w:t>
      </w:r>
      <w:proofErr w:type="gramEnd"/>
      <w:r w:rsidR="00DE36AC">
        <w:t xml:space="preserve"> </w:t>
      </w:r>
      <w:r w:rsidR="009A5607">
        <w:t xml:space="preserve">has the same commitment to its </w:t>
      </w:r>
      <w:r w:rsidR="00DE36AC">
        <w:t xml:space="preserve">pupils </w:t>
      </w:r>
      <w:r w:rsidR="009A5607">
        <w:t>and</w:t>
      </w:r>
      <w:r w:rsidR="00DE36AC">
        <w:t xml:space="preserve"> the public.</w:t>
      </w:r>
    </w:p>
    <w:p w14:paraId="319B8F9B" w14:textId="53FDA410" w:rsidR="0073129F" w:rsidRPr="005A65F1" w:rsidRDefault="0073129F" w:rsidP="000F303F">
      <w:pPr>
        <w:pStyle w:val="EPMNumberedSubheading"/>
      </w:pPr>
      <w:r w:rsidRPr="005A65F1">
        <w:t xml:space="preserve">The Governing Body will take allegations of discrimination seriously and address them promptly and confidentially, where possible. </w:t>
      </w:r>
    </w:p>
    <w:p w14:paraId="37E100C8" w14:textId="13A51808" w:rsidR="0073129F" w:rsidRPr="005A65F1" w:rsidRDefault="0073129F" w:rsidP="000F303F">
      <w:pPr>
        <w:pStyle w:val="EPMNumberedSubheading"/>
      </w:pPr>
      <w:r w:rsidRPr="005A65F1">
        <w:t xml:space="preserve">This policy covers all individuals working at all levels and grades, including senior managers, employees, trainees, part-time and fixed-term employees, volunteers, casual workers, agency staff and governors (collectively referred to as employees in this policy). All employees have a duty to act in accordance with this policy and always treat colleagues with dignity, as well as a duty not to discriminate against or harass other employees, regardless of their status. </w:t>
      </w:r>
    </w:p>
    <w:p w14:paraId="591E091A" w14:textId="771CFEE4" w:rsidR="0073129F" w:rsidRDefault="0073129F" w:rsidP="31AF30AF">
      <w:pPr>
        <w:pStyle w:val="EPMNumberedSubheading"/>
      </w:pPr>
      <w:r>
        <w:t xml:space="preserve">All employees are personally responsible for ensuring that they adhere to the policy and promote our aims and objectives regarding equal opportunities. </w:t>
      </w:r>
    </w:p>
    <w:p w14:paraId="13D16C6C" w14:textId="38D809FA" w:rsidR="218ED516" w:rsidRDefault="004D2DC9" w:rsidP="31AF30AF">
      <w:pPr>
        <w:pStyle w:val="EPMNumberedSubheading"/>
        <w:rPr>
          <w:szCs w:val="21"/>
        </w:rPr>
      </w:pPr>
      <w:r>
        <w:rPr>
          <w:szCs w:val="21"/>
        </w:rPr>
        <w:t>T</w:t>
      </w:r>
      <w:r w:rsidR="218ED516" w:rsidRPr="31AF30AF">
        <w:rPr>
          <w:szCs w:val="21"/>
        </w:rPr>
        <w:t>he language we use matters</w:t>
      </w:r>
      <w:r w:rsidR="2BDCD3EB" w:rsidRPr="31AF30AF">
        <w:rPr>
          <w:szCs w:val="21"/>
        </w:rPr>
        <w:t xml:space="preserve">, our aim is to be accessible and inclusive and </w:t>
      </w:r>
      <w:r w:rsidR="03580762" w:rsidRPr="31AF30AF">
        <w:rPr>
          <w:szCs w:val="21"/>
        </w:rPr>
        <w:t xml:space="preserve">have therefore used </w:t>
      </w:r>
      <w:r w:rsidR="1C39607A" w:rsidRPr="31AF30AF">
        <w:rPr>
          <w:szCs w:val="21"/>
        </w:rPr>
        <w:t xml:space="preserve">widely used and accepted </w:t>
      </w:r>
      <w:r w:rsidR="03580762" w:rsidRPr="31AF30AF">
        <w:rPr>
          <w:szCs w:val="21"/>
        </w:rPr>
        <w:t xml:space="preserve">terminology, however </w:t>
      </w:r>
      <w:r w:rsidR="2BDCD3EB" w:rsidRPr="31AF30AF">
        <w:rPr>
          <w:szCs w:val="21"/>
        </w:rPr>
        <w:t xml:space="preserve">it is recognised that different communities and individuals have preferences on </w:t>
      </w:r>
      <w:r w:rsidR="5E38BE76" w:rsidRPr="31AF30AF">
        <w:rPr>
          <w:szCs w:val="21"/>
        </w:rPr>
        <w:t>how they identify or describe themselves</w:t>
      </w:r>
      <w:r w:rsidR="528FD672" w:rsidRPr="31AF30AF">
        <w:rPr>
          <w:szCs w:val="21"/>
        </w:rPr>
        <w:t xml:space="preserve">. We think it is important </w:t>
      </w:r>
      <w:r w:rsidR="63277BBE" w:rsidRPr="31AF30AF">
        <w:rPr>
          <w:szCs w:val="21"/>
        </w:rPr>
        <w:t xml:space="preserve">to respect a person’s preference and expect all employees </w:t>
      </w:r>
      <w:r w:rsidR="02D3D540" w:rsidRPr="31AF30AF">
        <w:rPr>
          <w:szCs w:val="21"/>
        </w:rPr>
        <w:t>to do the same</w:t>
      </w:r>
      <w:r w:rsidR="56617F54" w:rsidRPr="31AF30AF">
        <w:rPr>
          <w:szCs w:val="21"/>
        </w:rPr>
        <w:t xml:space="preserve">. </w:t>
      </w:r>
      <w:r w:rsidR="63FB11AC" w:rsidRPr="31AF30AF">
        <w:rPr>
          <w:szCs w:val="21"/>
        </w:rPr>
        <w:t xml:space="preserve">Feedback on language and accessibility is gratefully received and should be directed to </w:t>
      </w:r>
      <w:r w:rsidR="00C856EF">
        <w:rPr>
          <w:szCs w:val="21"/>
        </w:rPr>
        <w:t>Ilona Wrigley Headteacher.</w:t>
      </w:r>
    </w:p>
    <w:p w14:paraId="18F997EA" w14:textId="70E5BC5A" w:rsidR="00237372" w:rsidRDefault="0073129F" w:rsidP="000F303F">
      <w:pPr>
        <w:pStyle w:val="EPMNumberedSubheading"/>
      </w:pPr>
      <w:r>
        <w:t>This policy does not form part of any employee’s contract of employment, and it may be amended at any time following consultation. Elements of this procedure may be varied as appropriate in any case.</w:t>
      </w:r>
    </w:p>
    <w:p w14:paraId="2AC72B36" w14:textId="4EDC3BDE" w:rsidR="00196846" w:rsidRDefault="00196846" w:rsidP="009154B6">
      <w:pPr>
        <w:pStyle w:val="EPMNumberedHeading"/>
      </w:pPr>
      <w:bookmarkStart w:id="2" w:name="_Toc170202357"/>
      <w:r>
        <w:t>Scope and Purpose of the Policy</w:t>
      </w:r>
      <w:bookmarkEnd w:id="2"/>
    </w:p>
    <w:p w14:paraId="35D17B41" w14:textId="739B3386" w:rsidR="00196846" w:rsidRPr="005A65F1" w:rsidRDefault="00196846" w:rsidP="000F303F">
      <w:pPr>
        <w:pStyle w:val="EPMNumberedSubheading"/>
      </w:pPr>
      <w:r w:rsidRPr="005A65F1">
        <w:t xml:space="preserve">This policy applies to all aspects of our relationship with employees and to relations between employees at all levels. This includes job advertisements, recruitment and selection, training and development, opportunities for promotion, conditions of service, pay and benefits, </w:t>
      </w:r>
      <w:r w:rsidR="00DE36AC">
        <w:t xml:space="preserve">flexible working requests, </w:t>
      </w:r>
      <w:r w:rsidRPr="005A65F1">
        <w:t>conduct at work, disciplinary and grievance procedures, and termination of employment.</w:t>
      </w:r>
    </w:p>
    <w:p w14:paraId="11984183" w14:textId="51CA7A9A" w:rsidR="009A5607" w:rsidRDefault="00196846" w:rsidP="000F303F">
      <w:pPr>
        <w:pStyle w:val="EPMNumberedSubheading"/>
      </w:pPr>
      <w:r w:rsidRPr="005A65F1">
        <w:t>We will take appropriate steps to</w:t>
      </w:r>
      <w:r w:rsidR="00E1064B">
        <w:t xml:space="preserve"> create an environment which is</w:t>
      </w:r>
      <w:r w:rsidR="00DE36AC">
        <w:t xml:space="preserve"> inclusive and respectful</w:t>
      </w:r>
      <w:r w:rsidR="00E1064B">
        <w:t xml:space="preserve">, where individual differences are recognised and valued, and free of bullying, harassment, victimisation and discrimination. </w:t>
      </w:r>
      <w:r w:rsidR="00DE36AC">
        <w:t xml:space="preserve"> </w:t>
      </w:r>
    </w:p>
    <w:p w14:paraId="6C0B7C59" w14:textId="41362DE1" w:rsidR="00F51B69" w:rsidRDefault="009A5607" w:rsidP="000F303F">
      <w:pPr>
        <w:pStyle w:val="EPMNumberedSubheading"/>
      </w:pPr>
      <w:r>
        <w:t>We believe that an equitable, diverse and inclusive culture benefits not only our School/Trust but supports wellbeing and enables individuals to work more productively and innovatively because they feel safe to be themselves and feel that they belong.</w:t>
      </w:r>
    </w:p>
    <w:p w14:paraId="7B09C5C3" w14:textId="6239DFFB" w:rsidR="005A3406" w:rsidRDefault="005A3406" w:rsidP="000F303F">
      <w:pPr>
        <w:pStyle w:val="EPMNumberedSubheading"/>
      </w:pPr>
      <w:r>
        <w:lastRenderedPageBreak/>
        <w:t xml:space="preserve">In some circumstances, we may take proportionate positive action to support individuals with protected characteristics where there is evidence of underrepresentation or disadvantage. </w:t>
      </w:r>
    </w:p>
    <w:p w14:paraId="7D7AA759" w14:textId="465FB2DE" w:rsidR="005A3406" w:rsidRDefault="005A3406" w:rsidP="000F303F">
      <w:pPr>
        <w:pStyle w:val="EPMNumberedSubheading"/>
      </w:pPr>
      <w:r>
        <w:t xml:space="preserve">We monitor data on recruitment, retention, progression, and pay equity, and act on findings to reduce inequalities. An annual report is submitted to governors summarising key trends and actions. </w:t>
      </w:r>
    </w:p>
    <w:p w14:paraId="46A12C45" w14:textId="77777777" w:rsidR="0069180E" w:rsidRDefault="0069180E" w:rsidP="009154B6">
      <w:pPr>
        <w:pStyle w:val="EPMNumberedHeading"/>
      </w:pPr>
      <w:bookmarkStart w:id="3" w:name="_Toc170202358"/>
      <w:r>
        <w:t>Protected Characteristics</w:t>
      </w:r>
      <w:bookmarkEnd w:id="3"/>
      <w:r>
        <w:t xml:space="preserve"> </w:t>
      </w:r>
    </w:p>
    <w:p w14:paraId="302C3706" w14:textId="77777777" w:rsidR="0069180E" w:rsidRPr="005A65F1" w:rsidRDefault="0069180E" w:rsidP="000F303F">
      <w:pPr>
        <w:pStyle w:val="EPMNumberedSubheading"/>
      </w:pPr>
      <w:r w:rsidRPr="005A65F1">
        <w:t>Discrimination is being treated unfairly for one of the following reasons:</w:t>
      </w:r>
    </w:p>
    <w:p w14:paraId="2B47A07F" w14:textId="77777777" w:rsidR="0069180E" w:rsidRPr="004150DF" w:rsidRDefault="0069180E" w:rsidP="004150DF">
      <w:pPr>
        <w:pStyle w:val="EPMBullets"/>
      </w:pPr>
      <w:r w:rsidRPr="004150DF">
        <w:t>Age</w:t>
      </w:r>
    </w:p>
    <w:p w14:paraId="75E4EE44" w14:textId="77777777" w:rsidR="0069180E" w:rsidRPr="004150DF" w:rsidRDefault="0069180E" w:rsidP="004150DF">
      <w:pPr>
        <w:pStyle w:val="EPMBullets"/>
      </w:pPr>
      <w:r w:rsidRPr="004150DF">
        <w:t>Disability</w:t>
      </w:r>
    </w:p>
    <w:p w14:paraId="6A95A781" w14:textId="77777777" w:rsidR="0069180E" w:rsidRPr="004150DF" w:rsidRDefault="0069180E" w:rsidP="004150DF">
      <w:pPr>
        <w:pStyle w:val="EPMBullets"/>
      </w:pPr>
      <w:r w:rsidRPr="004150DF">
        <w:t>Being married or in a civil partnership</w:t>
      </w:r>
    </w:p>
    <w:p w14:paraId="0A47E2FF" w14:textId="77777777" w:rsidR="0069180E" w:rsidRPr="004150DF" w:rsidRDefault="0069180E" w:rsidP="004150DF">
      <w:pPr>
        <w:pStyle w:val="EPMBullets"/>
      </w:pPr>
      <w:r w:rsidRPr="004150DF">
        <w:t>Pregnancy or maternity</w:t>
      </w:r>
    </w:p>
    <w:p w14:paraId="02DC1008" w14:textId="77777777" w:rsidR="0069180E" w:rsidRPr="004150DF" w:rsidRDefault="0069180E" w:rsidP="004150DF">
      <w:pPr>
        <w:pStyle w:val="EPMBullets"/>
      </w:pPr>
      <w:r w:rsidRPr="004150DF">
        <w:t>Race (including colour, nationality, ethnic or national origin)</w:t>
      </w:r>
    </w:p>
    <w:p w14:paraId="4F5FA9A5" w14:textId="77777777" w:rsidR="0069180E" w:rsidRPr="004150DF" w:rsidRDefault="0069180E" w:rsidP="004150DF">
      <w:pPr>
        <w:pStyle w:val="EPMBullets"/>
      </w:pPr>
      <w:r w:rsidRPr="004150DF">
        <w:t>Religion or belief</w:t>
      </w:r>
    </w:p>
    <w:p w14:paraId="23FBF543" w14:textId="77777777" w:rsidR="0069180E" w:rsidRPr="004150DF" w:rsidRDefault="0069180E" w:rsidP="004150DF">
      <w:pPr>
        <w:pStyle w:val="EPMBullets"/>
      </w:pPr>
      <w:r w:rsidRPr="004150DF">
        <w:t>Sex</w:t>
      </w:r>
    </w:p>
    <w:p w14:paraId="13FCDF6A" w14:textId="77777777" w:rsidR="0069180E" w:rsidRPr="004150DF" w:rsidRDefault="0069180E" w:rsidP="004150DF">
      <w:pPr>
        <w:pStyle w:val="EPMBullets"/>
      </w:pPr>
      <w:r w:rsidRPr="004150DF">
        <w:t>Sexual orientation</w:t>
      </w:r>
    </w:p>
    <w:p w14:paraId="67139157" w14:textId="02142401" w:rsidR="0069180E" w:rsidRPr="004150DF" w:rsidRDefault="0069180E" w:rsidP="004150DF">
      <w:pPr>
        <w:pStyle w:val="EPMBullets"/>
      </w:pPr>
      <w:r w:rsidRPr="004150DF">
        <w:t>Gender reassignment</w:t>
      </w:r>
      <w:r w:rsidR="6E5EB7E8" w:rsidRPr="004150DF">
        <w:t xml:space="preserve"> (inclusive of non-binary and gender-fluid individuals)</w:t>
      </w:r>
    </w:p>
    <w:p w14:paraId="74BB9A68" w14:textId="77777777" w:rsidR="0069180E" w:rsidRDefault="0069180E" w:rsidP="000F303F">
      <w:pPr>
        <w:pStyle w:val="EPMNumberedSubheading"/>
      </w:pPr>
      <w:r w:rsidRPr="005A65F1">
        <w:t xml:space="preserve">These are called protected characteristics in the Equality Act 2010. Discrimination based on any of these protected characteristics is against the law. </w:t>
      </w:r>
    </w:p>
    <w:p w14:paraId="47B6C34A" w14:textId="276AE4C2" w:rsidR="00D43B02" w:rsidRPr="00984F87" w:rsidRDefault="00D43B02" w:rsidP="009154B6">
      <w:pPr>
        <w:pStyle w:val="EPMNumberedHeading"/>
      </w:pPr>
      <w:bookmarkStart w:id="4" w:name="_Toc60740942"/>
      <w:bookmarkStart w:id="5" w:name="_Toc128644167"/>
      <w:bookmarkStart w:id="6" w:name="_Toc170202359"/>
      <w:r>
        <w:t xml:space="preserve">How can you be </w:t>
      </w:r>
      <w:r w:rsidRPr="00D43B02">
        <w:t>Discriminated</w:t>
      </w:r>
      <w:r>
        <w:t xml:space="preserve"> Against?</w:t>
      </w:r>
      <w:bookmarkEnd w:id="4"/>
      <w:bookmarkEnd w:id="5"/>
      <w:bookmarkEnd w:id="6"/>
    </w:p>
    <w:p w14:paraId="751FC6E6" w14:textId="77777777" w:rsidR="007204B3" w:rsidRPr="00876869" w:rsidRDefault="007204B3" w:rsidP="000F303F">
      <w:pPr>
        <w:pStyle w:val="EPMNumberedSubheading"/>
      </w:pPr>
      <w:r w:rsidRPr="00876869">
        <w:t>Discrimination by or against an employee is generally prohibited unless there is a specific legal exemption. Discrimination may be direct or indirect and it may occur intentionally or unintentionally.</w:t>
      </w:r>
    </w:p>
    <w:p w14:paraId="5F1E5592" w14:textId="77777777" w:rsidR="007204B3" w:rsidRPr="00876869" w:rsidRDefault="007204B3" w:rsidP="000F303F">
      <w:pPr>
        <w:pStyle w:val="EPMNumberedSubheading"/>
      </w:pPr>
      <w:r w:rsidRPr="00876869">
        <w:t xml:space="preserve">Direct discrimination occurs where someone is treated less favourably because of one or more of the protected characteristics set out above. For example, rejecting an applicant on the grounds of their race because they would not "fit in" would be direct discrimination. </w:t>
      </w:r>
    </w:p>
    <w:p w14:paraId="29C5B129" w14:textId="77777777" w:rsidR="007204B3" w:rsidRPr="00876869" w:rsidRDefault="007204B3" w:rsidP="000F303F">
      <w:pPr>
        <w:pStyle w:val="EPMNumberedSubheading"/>
      </w:pPr>
      <w:r w:rsidRPr="00876869">
        <w:t xml:space="preserve">Indirect discrimination is where there is a provision, criterion or practice that applies to everyone but adversely affects people with a particular protected characteristic more than others and is not justified. For example, a requirement to work full time adversely affects women because they generally have greater childcare commitments than men. Such a requirement will be discriminatory unless it is objectively justified. </w:t>
      </w:r>
    </w:p>
    <w:p w14:paraId="1E28BFA2" w14:textId="182D51FE" w:rsidR="7B2BE4B0" w:rsidRPr="00876869" w:rsidRDefault="7B2BE4B0" w:rsidP="000F303F">
      <w:pPr>
        <w:pStyle w:val="EPMNumberedSubheading"/>
      </w:pPr>
      <w:r w:rsidRPr="00876869">
        <w:t>Discrimination by perception is when a person is discriminated against because they are thought to have a particular protected characteristic when in fact they do not. If you discriminate against people because you think they are transsexual or gay, for example, then they will be protected even if they do not have these protected characteristics.</w:t>
      </w:r>
      <w:r w:rsidR="00661D8E">
        <w:t xml:space="preserve"> </w:t>
      </w:r>
    </w:p>
    <w:p w14:paraId="3B416FDE" w14:textId="77777777" w:rsidR="00345CB9" w:rsidRDefault="7B2BE4B0" w:rsidP="000F303F">
      <w:pPr>
        <w:pStyle w:val="EPMNumberedSubheading"/>
      </w:pPr>
      <w:r w:rsidRPr="00876869">
        <w:t xml:space="preserve">Discrimination by association means that a person is treated less favourably because they are linked or associated with a protected characteristic. The person does not have the protected </w:t>
      </w:r>
      <w:r w:rsidR="000D586D" w:rsidRPr="00876869">
        <w:t>characteristic,</w:t>
      </w:r>
      <w:r w:rsidRPr="00876869">
        <w:t xml:space="preserve"> but they are treated less favourably than others because of a protected characteristic of a friend, spouse, partner, </w:t>
      </w:r>
      <w:r w:rsidR="000D586D" w:rsidRPr="00876869">
        <w:t>parent,</w:t>
      </w:r>
      <w:r w:rsidRPr="00876869">
        <w:t xml:space="preserve"> or another person with whom they are associated</w:t>
      </w:r>
      <w:r w:rsidR="00345CB9">
        <w:t>.</w:t>
      </w:r>
    </w:p>
    <w:p w14:paraId="788E8F31" w14:textId="69362D30" w:rsidR="7B2BE4B0" w:rsidRPr="00876869" w:rsidRDefault="00345CB9" w:rsidP="000F303F">
      <w:pPr>
        <w:pStyle w:val="EPMNumberedSubheading"/>
      </w:pPr>
      <w:r>
        <w:lastRenderedPageBreak/>
        <w:t>There are two specific types of discrimination that apply only to disability: discrimination arising from disability and failing to make reasonable adjustments.</w:t>
      </w:r>
      <w:r w:rsidR="7B2BE4B0">
        <w:t xml:space="preserve"> </w:t>
      </w:r>
    </w:p>
    <w:p w14:paraId="202A33AF" w14:textId="6C10717D" w:rsidR="007204B3" w:rsidRPr="00876869" w:rsidRDefault="007204B3" w:rsidP="000F303F">
      <w:pPr>
        <w:pStyle w:val="EPMNumberedSubheading"/>
      </w:pPr>
      <w:r>
        <w:t xml:space="preserve">Harassment related to any of the protected characteristics is prohibited. Harassment is unwanted conduct that has the purpose or effect of violating someone's dignity or creating an intimidating, hostile, degrading, humiliating or offensive environment for them. </w:t>
      </w:r>
      <w:r w:rsidR="00C94A88">
        <w:t xml:space="preserve">Sexual harassment is conduct of a sexual nature that has the purpose or effect of violating someone’s dignity, or creating an intimidating, hostile, degrading, humiliating or offensive environment, and less favourable treatment related to sex or gender reassignment that occurs because of a rejection of, or submission to, sexual conduct. </w:t>
      </w:r>
    </w:p>
    <w:p w14:paraId="0E0D867C" w14:textId="77777777" w:rsidR="007204B3" w:rsidRDefault="007204B3" w:rsidP="000F303F">
      <w:pPr>
        <w:pStyle w:val="EPMNumberedSubheading"/>
      </w:pPr>
      <w:r w:rsidRPr="00876869">
        <w:t>Victimisation is also prohibited. This is less favourable treatment of someone who has complained or given information about discrimination or harassment or supported someone else's complaint.</w:t>
      </w:r>
    </w:p>
    <w:p w14:paraId="15F4807E" w14:textId="058F0E03" w:rsidR="009A5607" w:rsidRDefault="009A5607" w:rsidP="000F303F">
      <w:pPr>
        <w:pStyle w:val="EPMNumberedSubheading"/>
      </w:pPr>
      <w:r>
        <w:t>We recognise that areas of difference can translate to challenges, barriers and biases that may not be faced by others. The more areas of difference a person brings, the more this can be compounded</w:t>
      </w:r>
      <w:r w:rsidR="00345CB9">
        <w:t>, t</w:t>
      </w:r>
      <w:r>
        <w:t>his is called “intersectionality”</w:t>
      </w:r>
      <w:r w:rsidR="00345CB9">
        <w:t>. We aim to tackle and eliminate these challenges through the commitments outlined in this policy and continuously nu</w:t>
      </w:r>
      <w:r w:rsidR="001A611B">
        <w:t>r</w:t>
      </w:r>
      <w:r w:rsidR="00345CB9">
        <w:t xml:space="preserve">turing an inclusive culture. </w:t>
      </w:r>
      <w:r>
        <w:t xml:space="preserve"> </w:t>
      </w:r>
    </w:p>
    <w:p w14:paraId="30207725" w14:textId="30FA189D" w:rsidR="007B0A2A" w:rsidRDefault="007B0A2A" w:rsidP="009154B6">
      <w:pPr>
        <w:pStyle w:val="EPMNumberedHeading"/>
      </w:pPr>
      <w:bookmarkStart w:id="7" w:name="_Toc170202360"/>
      <w:r>
        <w:t>Employee Training</w:t>
      </w:r>
      <w:r w:rsidR="00E1064B">
        <w:t xml:space="preserve"> and</w:t>
      </w:r>
      <w:r>
        <w:t xml:space="preserve"> Promotion</w:t>
      </w:r>
      <w:bookmarkEnd w:id="7"/>
      <w:r>
        <w:t xml:space="preserve"> </w:t>
      </w:r>
    </w:p>
    <w:p w14:paraId="688783CE" w14:textId="715E57B0" w:rsidR="007B0A2A" w:rsidRPr="00381412" w:rsidRDefault="007B0A2A" w:rsidP="000F303F">
      <w:pPr>
        <w:pStyle w:val="EPMNumberedSubheading"/>
      </w:pPr>
      <w:r w:rsidRPr="00381412">
        <w:t xml:space="preserve">All managers must set an appropriate standard of behaviour, </w:t>
      </w:r>
      <w:proofErr w:type="spellStart"/>
      <w:r w:rsidRPr="00381412">
        <w:t>lead</w:t>
      </w:r>
      <w:proofErr w:type="spellEnd"/>
      <w:r w:rsidRPr="00381412">
        <w:t xml:space="preserve"> by example and ensure that those they manage adhere to the policy and promote our aims and objectives </w:t>
      </w:r>
      <w:proofErr w:type="gramStart"/>
      <w:r w:rsidRPr="00381412">
        <w:t>with regard to</w:t>
      </w:r>
      <w:proofErr w:type="gramEnd"/>
      <w:r w:rsidRPr="00381412">
        <w:t xml:space="preserve"> equal opportunities. Managers will be given appropriate training on equal opportunities awareness and equal opportunities recruitment and selection best practice</w:t>
      </w:r>
      <w:r w:rsidR="00E72C80">
        <w:t>.</w:t>
      </w:r>
    </w:p>
    <w:p w14:paraId="7EDC4055" w14:textId="121F6177" w:rsidR="00C94A88" w:rsidRDefault="007B0A2A" w:rsidP="00C94A88">
      <w:pPr>
        <w:pStyle w:val="EPMNumberedSubheading"/>
      </w:pPr>
      <w:r w:rsidRPr="00381412">
        <w:t xml:space="preserve">Employee training needs will be identified through regular appraisals. All employees will be given appropriate access to training to enable them to progress within the organisation and all promotion decisions will be made </w:t>
      </w:r>
      <w:proofErr w:type="gramStart"/>
      <w:r w:rsidRPr="00381412">
        <w:t>on the basis of</w:t>
      </w:r>
      <w:proofErr w:type="gramEnd"/>
      <w:r w:rsidRPr="00381412">
        <w:t xml:space="preserve"> merit. 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1F36AD43" w14:textId="308F2E57" w:rsidR="00E1064B" w:rsidRPr="00381412" w:rsidRDefault="001B6889" w:rsidP="00822153">
      <w:pPr>
        <w:pStyle w:val="EPMBracket"/>
        <w:ind w:left="993" w:hanging="567"/>
      </w:pPr>
      <w:r>
        <w:rPr>
          <w:szCs w:val="21"/>
        </w:rPr>
        <w:t xml:space="preserve"> </w:t>
      </w:r>
    </w:p>
    <w:p w14:paraId="7299E49F" w14:textId="77777777" w:rsidR="006A60C0" w:rsidRDefault="00E1064B" w:rsidP="000F303F">
      <w:pPr>
        <w:pStyle w:val="EPMNumberedSubheading"/>
      </w:pPr>
      <w:r>
        <w:t xml:space="preserve">Our employment practices and procedures are reviewed when necessary to ensure fairness and equity, </w:t>
      </w:r>
      <w:proofErr w:type="gramStart"/>
      <w:r>
        <w:t>and also</w:t>
      </w:r>
      <w:proofErr w:type="gramEnd"/>
      <w:r>
        <w:t xml:space="preserve"> update</w:t>
      </w:r>
      <w:r w:rsidR="006A60C0">
        <w:t>d in line with changes in the law.</w:t>
      </w:r>
    </w:p>
    <w:p w14:paraId="56911177" w14:textId="771B6FB8" w:rsidR="00DB259C" w:rsidRDefault="007B0A2A" w:rsidP="000F303F">
      <w:pPr>
        <w:pStyle w:val="EPMNumberedSubheading"/>
      </w:pPr>
      <w:r>
        <w:t>Our conditions of service, benefits and facilities are reviewed regularly to ensure that they are available to all employees who should have access to them and that there are no unlawful obstacles to accessing them.</w:t>
      </w:r>
    </w:p>
    <w:p w14:paraId="2419D40A" w14:textId="77777777" w:rsidR="00AE6F5A" w:rsidRDefault="00AE6F5A" w:rsidP="009154B6">
      <w:pPr>
        <w:pStyle w:val="EPMNumberedHeading"/>
      </w:pPr>
      <w:bookmarkStart w:id="8" w:name="_Toc170202363"/>
      <w:r>
        <w:t>Discipline and Termination of Employment</w:t>
      </w:r>
      <w:bookmarkEnd w:id="8"/>
    </w:p>
    <w:p w14:paraId="0DE845A6" w14:textId="77777777" w:rsidR="00AE6F5A" w:rsidRPr="00381412" w:rsidRDefault="00AE6F5A" w:rsidP="000F303F">
      <w:pPr>
        <w:pStyle w:val="EPMNumberedSubheading"/>
      </w:pPr>
      <w:r w:rsidRPr="00381412">
        <w:t xml:space="preserve">We will ensure that disciplinary procedures and penalties are applied without discrimination, whether they result in disciplinary warnings, dismissal or other disciplinary action. </w:t>
      </w:r>
    </w:p>
    <w:p w14:paraId="22C4A5C2" w14:textId="77777777" w:rsidR="00AE6F5A" w:rsidRDefault="00AE6F5A" w:rsidP="000F303F">
      <w:pPr>
        <w:pStyle w:val="EPMNumberedSubheading"/>
      </w:pPr>
      <w:r w:rsidRPr="00381412">
        <w:t>We will ensure that redundancy criteria and procedures are fair and objective and are not directly or indirectly discriminatory.</w:t>
      </w:r>
    </w:p>
    <w:p w14:paraId="3CDFD8EA" w14:textId="3F242BAD" w:rsidR="00F40AC8" w:rsidRDefault="00F40AC8" w:rsidP="009154B6">
      <w:pPr>
        <w:pStyle w:val="EPMNumberedHeading"/>
      </w:pPr>
      <w:bookmarkStart w:id="9" w:name="_Toc170202364"/>
      <w:r>
        <w:t>Disability Discrimination</w:t>
      </w:r>
      <w:bookmarkEnd w:id="9"/>
    </w:p>
    <w:p w14:paraId="7291549C" w14:textId="26F45CC7" w:rsidR="00F40AC8" w:rsidRPr="00381412" w:rsidRDefault="00F40AC8" w:rsidP="000F303F">
      <w:pPr>
        <w:pStyle w:val="EPMNumberedSubheading"/>
      </w:pPr>
      <w:r w:rsidRPr="00381412">
        <w:lastRenderedPageBreak/>
        <w:t>If you are disabled or become disabled, we encourage you to tell us about your condition so that we can support you as appropriate.</w:t>
      </w:r>
      <w:r w:rsidR="003D52B6">
        <w:t xml:space="preserve"> We understand that some people may find it hard to discuss their disability and that disability can be invisible, we expect everyone to uphold the values of treating people with dignity, trust and respect in creating a safe environment where people feel able to speak up about their experiences. </w:t>
      </w:r>
      <w:r w:rsidRPr="00381412">
        <w:t xml:space="preserve"> </w:t>
      </w:r>
    </w:p>
    <w:p w14:paraId="4C67C913" w14:textId="3571164D" w:rsidR="00F40AC8" w:rsidRPr="00381412" w:rsidRDefault="00F40AC8" w:rsidP="000F303F">
      <w:pPr>
        <w:pStyle w:val="EPMNumberedSubheading"/>
      </w:pPr>
      <w:r w:rsidRPr="00381412">
        <w:t xml:space="preserve">If you experience difficulties at work because of your disability, you should speak to your line manager to discuss any reasonable adjustments that would help overcome or minimise the difficulty. Your line manager may wish to consult with you and your medical adviser/s about possible adjustments. We will consider the matter carefully and try to accommodate your needs. If we consider a particular adjustment would not be reasonable, we will explain our reasons and try to find an alternative solution where possible. </w:t>
      </w:r>
    </w:p>
    <w:p w14:paraId="14BB9640" w14:textId="2E6F4CA3" w:rsidR="005143DF" w:rsidRDefault="00F40AC8" w:rsidP="00E1064B">
      <w:pPr>
        <w:pStyle w:val="EPMNumberedSubheading"/>
      </w:pPr>
      <w:r w:rsidRPr="00381412">
        <w:t>We will monitor the physical features of our premises to consider whether they place disabled workers and job applicants at a substantial disadvantage compared to other employees. Where reasonable, we will take steps to improve access for disabled employees.</w:t>
      </w:r>
    </w:p>
    <w:p w14:paraId="47A4EF2E" w14:textId="7D5F8E17" w:rsidR="00F0305F" w:rsidRDefault="00F0305F" w:rsidP="009154B6">
      <w:pPr>
        <w:pStyle w:val="EPMNumberedHeading"/>
      </w:pPr>
      <w:bookmarkStart w:id="10" w:name="_Toc170202365"/>
      <w:r>
        <w:t>Fixed-term Employees, Casual and Agency Workers</w:t>
      </w:r>
      <w:bookmarkEnd w:id="10"/>
    </w:p>
    <w:p w14:paraId="1D789E84" w14:textId="77777777" w:rsidR="00F0305F" w:rsidRDefault="00F0305F" w:rsidP="000F303F">
      <w:pPr>
        <w:pStyle w:val="EPMNumberedSubheading"/>
      </w:pPr>
      <w:r w:rsidRPr="00381412">
        <w:t>We monitor our use of fixed-term employees, casual and agency workers, and their conditions of service, to ensure that they are being offered appropriate access to benefits, training, promotion and permanent employment opportunities. We will, where relevant, monitor their progress to ensure that they are accessing permanent vacancies.</w:t>
      </w:r>
    </w:p>
    <w:p w14:paraId="401C18AD" w14:textId="77777777" w:rsidR="00AA6069" w:rsidRDefault="00AA6069" w:rsidP="009154B6">
      <w:pPr>
        <w:pStyle w:val="EPMNumberedHeading"/>
      </w:pPr>
      <w:bookmarkStart w:id="11" w:name="_Toc170202366"/>
      <w:r>
        <w:t>Part-time Work</w:t>
      </w:r>
      <w:bookmarkEnd w:id="11"/>
    </w:p>
    <w:p w14:paraId="60FC7347" w14:textId="198C0D5E" w:rsidR="001854BB" w:rsidRDefault="00AA6069" w:rsidP="000F303F">
      <w:pPr>
        <w:pStyle w:val="EPMNumberedSubheading"/>
      </w:pPr>
      <w:r w:rsidRPr="00381412">
        <w:t>We monitor the conditions of service of part-time employees and their progression to ensure that they are being offered appropriate access to benefits and training and promotion opportunities. We will ensure requests to alter working hours are dealt with appropriately under our Flexible Working Policy.</w:t>
      </w:r>
    </w:p>
    <w:p w14:paraId="15488110" w14:textId="237344C4" w:rsidR="00F0305F" w:rsidRPr="001854BB" w:rsidRDefault="001854BB" w:rsidP="001854BB">
      <w:pPr>
        <w:rPr>
          <w:rFonts w:cs="Arial"/>
          <w:sz w:val="21"/>
          <w:szCs w:val="20"/>
        </w:rPr>
      </w:pPr>
      <w:r>
        <w:br w:type="page"/>
      </w:r>
    </w:p>
    <w:p w14:paraId="50F4A059" w14:textId="77777777" w:rsidR="00CD3B16" w:rsidRDefault="00CD3B16" w:rsidP="009154B6">
      <w:pPr>
        <w:pStyle w:val="EPMNumberedHeading"/>
      </w:pPr>
      <w:bookmarkStart w:id="12" w:name="_Toc170202367"/>
      <w:r>
        <w:lastRenderedPageBreak/>
        <w:t>Breaches of this Policy</w:t>
      </w:r>
      <w:bookmarkEnd w:id="12"/>
    </w:p>
    <w:p w14:paraId="53B85185" w14:textId="27FF34D9" w:rsidR="00CD3B16" w:rsidRPr="00381412" w:rsidRDefault="00CD3B16" w:rsidP="000F303F">
      <w:pPr>
        <w:pStyle w:val="EPMNumberedSubheading"/>
      </w:pPr>
      <w:r w:rsidRPr="00381412">
        <w:t xml:space="preserve">If you believe that you may have been discriminated against you are encouraged to raise the matter through our grievance procedure. </w:t>
      </w:r>
    </w:p>
    <w:p w14:paraId="611C3754" w14:textId="77777777" w:rsidR="00CD3B16" w:rsidRPr="00381412" w:rsidRDefault="00CD3B16" w:rsidP="000F303F">
      <w:pPr>
        <w:pStyle w:val="EPMNumberedSubheading"/>
      </w:pPr>
      <w:r w:rsidRPr="00381412">
        <w:t>Allegations regarding potential breaches of this policy will be treated in confidence and investigated in accordance with the relevant procedure. Employees who make such allegations in good faith will not be victimised or treated less favourably as a result. False allegations which are found to have been made in bad faith will, however, be dealt with under our disciplinary procedure.</w:t>
      </w:r>
    </w:p>
    <w:p w14:paraId="5E2627EE" w14:textId="3647AB22" w:rsidR="00CD3B16" w:rsidRPr="00381412" w:rsidRDefault="00CD3B16" w:rsidP="000F303F">
      <w:pPr>
        <w:pStyle w:val="EPMNumberedSubheading"/>
      </w:pPr>
      <w:r>
        <w:t>Any employee who is found to have committed</w:t>
      </w:r>
      <w:r w:rsidR="00345CB9">
        <w:t>,</w:t>
      </w:r>
      <w:r w:rsidR="00345CB9" w:rsidRPr="004D2DC9">
        <w:rPr>
          <w:b/>
          <w:bCs/>
        </w:rPr>
        <w:t xml:space="preserve"> </w:t>
      </w:r>
      <w:r w:rsidR="00345CB9" w:rsidRPr="004D2DC9">
        <w:t>authorised or condoned</w:t>
      </w:r>
      <w:r>
        <w:t xml:space="preserve"> an act of discrimination</w:t>
      </w:r>
      <w:r w:rsidR="00345CB9">
        <w:t xml:space="preserve">, </w:t>
      </w:r>
      <w:r>
        <w:t>harassment</w:t>
      </w:r>
      <w:r w:rsidR="00345CB9">
        <w:t>, victimisation or bullying</w:t>
      </w:r>
      <w:r>
        <w:t xml:space="preserve"> will be subject to disciplinary action. Such behaviour may constitute gross misconduct and, as such, may result in summary dismissal. We take a strict approach to serious breaches of this policy.</w:t>
      </w:r>
    </w:p>
    <w:p w14:paraId="129B3CFF" w14:textId="2BA5600F" w:rsidR="06397844" w:rsidRDefault="06397844" w:rsidP="532DB60D">
      <w:pPr>
        <w:pStyle w:val="EPMNumberedSubheading"/>
        <w:rPr>
          <w:szCs w:val="21"/>
        </w:rPr>
      </w:pPr>
      <w:r w:rsidRPr="31AF30AF">
        <w:rPr>
          <w:szCs w:val="21"/>
        </w:rPr>
        <w:t xml:space="preserve">Sexual harassment may amount to both </w:t>
      </w:r>
      <w:r w:rsidR="003DD015" w:rsidRPr="31AF30AF">
        <w:rPr>
          <w:szCs w:val="21"/>
        </w:rPr>
        <w:t>a conduct matter and a criminal matter, such as sexual assault allegations. In addition, harassment under the Protection from Harass</w:t>
      </w:r>
      <w:r w:rsidR="570D685D" w:rsidRPr="31AF30AF">
        <w:rPr>
          <w:szCs w:val="21"/>
        </w:rPr>
        <w:t>me</w:t>
      </w:r>
      <w:r w:rsidR="003DD015" w:rsidRPr="31AF30AF">
        <w:rPr>
          <w:szCs w:val="21"/>
        </w:rPr>
        <w:t>nt Act 1997, which is not limited to circumstances where harassment r</w:t>
      </w:r>
      <w:r w:rsidR="387C1EE2" w:rsidRPr="31AF30AF">
        <w:rPr>
          <w:szCs w:val="21"/>
        </w:rPr>
        <w:t>elates to a protected characteristic, is a criminal offence.</w:t>
      </w:r>
      <w:r w:rsidR="0D13E3AA" w:rsidRPr="31AF30AF">
        <w:rPr>
          <w:szCs w:val="21"/>
        </w:rPr>
        <w:t xml:space="preserve"> </w:t>
      </w:r>
      <w:r w:rsidR="764AA31D" w:rsidRPr="31AF30AF">
        <w:rPr>
          <w:szCs w:val="21"/>
        </w:rPr>
        <w:t>[</w:t>
      </w:r>
      <w:r w:rsidR="0D13E3AA" w:rsidRPr="31AF30AF">
        <w:rPr>
          <w:szCs w:val="21"/>
        </w:rPr>
        <w:t>In these circumstances the School/Trust will need to consider its obligat</w:t>
      </w:r>
      <w:r w:rsidR="15B24D8F" w:rsidRPr="31AF30AF">
        <w:rPr>
          <w:szCs w:val="21"/>
        </w:rPr>
        <w:t xml:space="preserve">ions to </w:t>
      </w:r>
      <w:r w:rsidR="3D92DEB0" w:rsidRPr="31AF30AF">
        <w:rPr>
          <w:szCs w:val="21"/>
        </w:rPr>
        <w:t>report the matter</w:t>
      </w:r>
      <w:r w:rsidR="005A3406">
        <w:rPr>
          <w:szCs w:val="21"/>
        </w:rPr>
        <w:t>, including referral to external agencies where necessary</w:t>
      </w:r>
      <w:r w:rsidR="3BB2214D" w:rsidRPr="31AF30AF">
        <w:rPr>
          <w:szCs w:val="21"/>
        </w:rPr>
        <w:t>.]</w:t>
      </w:r>
    </w:p>
    <w:p w14:paraId="13587428" w14:textId="77777777" w:rsidR="00E56B4C" w:rsidRDefault="00E56B4C" w:rsidP="009154B6">
      <w:pPr>
        <w:pStyle w:val="EPMNumberedHeading"/>
      </w:pPr>
      <w:bookmarkStart w:id="13" w:name="_Toc170202368"/>
      <w:r>
        <w:t>Who is Responsible for this Policy?</w:t>
      </w:r>
      <w:bookmarkEnd w:id="13"/>
    </w:p>
    <w:p w14:paraId="436CECDC" w14:textId="77777777" w:rsidR="00E56B4C" w:rsidRPr="00381412" w:rsidRDefault="00E56B4C" w:rsidP="000F303F">
      <w:pPr>
        <w:pStyle w:val="EPMNumberedSubheading"/>
      </w:pPr>
      <w:r w:rsidRPr="00381412">
        <w:t>The Governing Body has ultimate responsibility for the effective implementation of this policy and the Senior Manager with responsibility for equalities issues has overall responsibility for the effective operation of this policy and for ensuring compliance with discrimination law.</w:t>
      </w:r>
    </w:p>
    <w:p w14:paraId="44C794F4" w14:textId="767CFF6E" w:rsidR="00E56B4C" w:rsidRDefault="00E56B4C" w:rsidP="000F303F">
      <w:pPr>
        <w:pStyle w:val="EPMNumberedSubheading"/>
      </w:pPr>
      <w:r w:rsidRPr="00381412">
        <w:t xml:space="preserve">All employees are personally responsible for ensuring that they adhere to the policy and promote our aims and objectives about equal opportunities. In certain circumstances, the </w:t>
      </w:r>
      <w:r w:rsidR="00E1064B">
        <w:t>Employer</w:t>
      </w:r>
      <w:r w:rsidRPr="00381412">
        <w:t xml:space="preserve"> could be held to be vicariously liable for the actions of their employees. Employees should be aware that they may be personally liable if they are found to have discriminated against another person whilst in School or on School-related business.</w:t>
      </w:r>
    </w:p>
    <w:p w14:paraId="5FA47BC3" w14:textId="77777777" w:rsidR="00537170" w:rsidRDefault="00537170" w:rsidP="00537170">
      <w:pPr>
        <w:pStyle w:val="EPMNumberedHeading"/>
        <w:numPr>
          <w:ilvl w:val="0"/>
          <w:numId w:val="0"/>
        </w:numPr>
        <w:ind w:left="360" w:hanging="360"/>
      </w:pPr>
    </w:p>
    <w:p w14:paraId="4ADCE382" w14:textId="77777777" w:rsidR="00537170" w:rsidRDefault="00537170" w:rsidP="00537170">
      <w:pPr>
        <w:pStyle w:val="EPMNumberedHeading"/>
        <w:numPr>
          <w:ilvl w:val="0"/>
          <w:numId w:val="0"/>
        </w:numPr>
        <w:ind w:left="360" w:hanging="360"/>
      </w:pPr>
    </w:p>
    <w:p w14:paraId="7A7CF954" w14:textId="77777777" w:rsidR="00537170" w:rsidRDefault="00537170" w:rsidP="00537170">
      <w:pPr>
        <w:pStyle w:val="EPMNumberedHeading"/>
        <w:numPr>
          <w:ilvl w:val="0"/>
          <w:numId w:val="0"/>
        </w:numPr>
        <w:ind w:left="360" w:hanging="360"/>
      </w:pPr>
    </w:p>
    <w:p w14:paraId="7422C0D1" w14:textId="77777777" w:rsidR="00537170" w:rsidRDefault="00537170" w:rsidP="00537170">
      <w:pPr>
        <w:pStyle w:val="EPMNumberedHeading"/>
        <w:numPr>
          <w:ilvl w:val="0"/>
          <w:numId w:val="0"/>
        </w:numPr>
        <w:ind w:left="360" w:hanging="360"/>
      </w:pPr>
    </w:p>
    <w:p w14:paraId="2232D243" w14:textId="77777777" w:rsidR="00537170" w:rsidRDefault="00537170" w:rsidP="00537170">
      <w:pPr>
        <w:pStyle w:val="EPMNumberedHeading"/>
        <w:numPr>
          <w:ilvl w:val="0"/>
          <w:numId w:val="0"/>
        </w:numPr>
        <w:ind w:left="360" w:hanging="360"/>
      </w:pPr>
    </w:p>
    <w:p w14:paraId="61AC94BB" w14:textId="77777777" w:rsidR="00537170" w:rsidRDefault="00537170" w:rsidP="00537170">
      <w:pPr>
        <w:pStyle w:val="EPMNumberedHeading"/>
        <w:numPr>
          <w:ilvl w:val="0"/>
          <w:numId w:val="0"/>
        </w:numPr>
        <w:ind w:left="360" w:hanging="360"/>
      </w:pPr>
    </w:p>
    <w:p w14:paraId="12C7533D" w14:textId="67B65396" w:rsidR="00537170" w:rsidRDefault="00537170" w:rsidP="00537170">
      <w:pPr>
        <w:pStyle w:val="EPMNumberedHeading"/>
        <w:numPr>
          <w:ilvl w:val="0"/>
          <w:numId w:val="0"/>
        </w:numPr>
        <w:ind w:left="360" w:hanging="360"/>
      </w:pPr>
    </w:p>
    <w:p w14:paraId="0557F2C9" w14:textId="5C02E108" w:rsidR="00537170" w:rsidRDefault="00537170" w:rsidP="00537170">
      <w:pPr>
        <w:pStyle w:val="EPMNumberedHeading"/>
        <w:numPr>
          <w:ilvl w:val="0"/>
          <w:numId w:val="0"/>
        </w:numPr>
        <w:ind w:left="360" w:hanging="360"/>
      </w:pPr>
    </w:p>
    <w:p w14:paraId="0246692D" w14:textId="4DC3259F" w:rsidR="00537170" w:rsidRDefault="0077328B" w:rsidP="00537170">
      <w:pPr>
        <w:pStyle w:val="EPMNumberedHeading"/>
        <w:numPr>
          <w:ilvl w:val="0"/>
          <w:numId w:val="0"/>
        </w:numPr>
        <w:ind w:left="360" w:hanging="360"/>
      </w:pPr>
      <w:r>
        <w:rPr>
          <w:noProof/>
        </w:rPr>
        <w:lastRenderedPageBreak/>
        <w:drawing>
          <wp:anchor distT="0" distB="0" distL="114300" distR="114300" simplePos="0" relativeHeight="251662340" behindDoc="0" locked="0" layoutInCell="1" allowOverlap="1" wp14:anchorId="5287141C" wp14:editId="7E71532B">
            <wp:simplePos x="0" y="0"/>
            <wp:positionH relativeFrom="column">
              <wp:posOffset>-2433320</wp:posOffset>
            </wp:positionH>
            <wp:positionV relativeFrom="margin">
              <wp:posOffset>603250</wp:posOffset>
            </wp:positionV>
            <wp:extent cx="11028680" cy="7221220"/>
            <wp:effectExtent l="0" t="1270" r="0" b="0"/>
            <wp:wrapTight wrapText="bothSides">
              <wp:wrapPolygon edited="0">
                <wp:start x="21602" y="4"/>
                <wp:lineTo x="37" y="4"/>
                <wp:lineTo x="37" y="21543"/>
                <wp:lineTo x="21602" y="21543"/>
                <wp:lineTo x="21602" y="4"/>
              </wp:wrapPolygon>
            </wp:wrapTight>
            <wp:docPr id="1807108756"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98366" name="Picture 1" descr="A computer screen shot of a computer screen&#10;&#10;Description automatically generated"/>
                    <pic:cNvPicPr/>
                  </pic:nvPicPr>
                  <pic:blipFill rotWithShape="1">
                    <a:blip r:embed="rId14">
                      <a:extLst>
                        <a:ext uri="{28A0092B-C50C-407E-A947-70E740481C1C}">
                          <a14:useLocalDpi xmlns:a14="http://schemas.microsoft.com/office/drawing/2010/main" val="0"/>
                        </a:ext>
                      </a:extLst>
                    </a:blip>
                    <a:srcRect l="22966" t="18342" r="7778" b="12269"/>
                    <a:stretch/>
                  </pic:blipFill>
                  <pic:spPr bwMode="auto">
                    <a:xfrm rot="16200000">
                      <a:off x="0" y="0"/>
                      <a:ext cx="11028680" cy="7221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CD3D0E" w14:textId="7EAE166A" w:rsidR="000B252F" w:rsidRPr="0028798F" w:rsidRDefault="00F519E2" w:rsidP="00F519E2">
      <w:pPr>
        <w:pStyle w:val="EPMNumberedHeading"/>
        <w:numPr>
          <w:ilvl w:val="0"/>
          <w:numId w:val="0"/>
        </w:numPr>
        <w:ind w:left="360" w:hanging="360"/>
      </w:pPr>
      <w:r>
        <w:rPr>
          <w:noProof/>
        </w:rPr>
        <w:lastRenderedPageBreak/>
        <w:drawing>
          <wp:anchor distT="0" distB="0" distL="114300" distR="114300" simplePos="0" relativeHeight="251664388" behindDoc="1" locked="0" layoutInCell="1" allowOverlap="1" wp14:anchorId="2114E10B" wp14:editId="1F70A590">
            <wp:simplePos x="0" y="0"/>
            <wp:positionH relativeFrom="column">
              <wp:posOffset>-2234565</wp:posOffset>
            </wp:positionH>
            <wp:positionV relativeFrom="margin">
              <wp:posOffset>770890</wp:posOffset>
            </wp:positionV>
            <wp:extent cx="10685145" cy="7025005"/>
            <wp:effectExtent l="1270" t="0" r="3175" b="3175"/>
            <wp:wrapTight wrapText="bothSides">
              <wp:wrapPolygon edited="0">
                <wp:start x="21597" y="-4"/>
                <wp:lineTo x="32" y="-4"/>
                <wp:lineTo x="32" y="21551"/>
                <wp:lineTo x="21597" y="21551"/>
                <wp:lineTo x="21597" y="-4"/>
              </wp:wrapPolygon>
            </wp:wrapTight>
            <wp:docPr id="17043829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82919" name="Picture 1" descr="A screenshot of a computer&#10;&#10;Description automatically generated"/>
                    <pic:cNvPicPr/>
                  </pic:nvPicPr>
                  <pic:blipFill rotWithShape="1">
                    <a:blip r:embed="rId15">
                      <a:extLst>
                        <a:ext uri="{28A0092B-C50C-407E-A947-70E740481C1C}">
                          <a14:useLocalDpi xmlns:a14="http://schemas.microsoft.com/office/drawing/2010/main" val="0"/>
                        </a:ext>
                      </a:extLst>
                    </a:blip>
                    <a:srcRect l="22788" t="18182" r="8138" b="12274"/>
                    <a:stretch/>
                  </pic:blipFill>
                  <pic:spPr bwMode="auto">
                    <a:xfrm rot="16200000">
                      <a:off x="0" y="0"/>
                      <a:ext cx="10685145" cy="7025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B252F" w:rsidRPr="0028798F" w:rsidSect="000B252F">
      <w:headerReference w:type="default" r:id="rId16"/>
      <w:footerReference w:type="default" r:id="rId17"/>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0D76C" w14:textId="77777777" w:rsidR="006E4C5A" w:rsidRDefault="006E4C5A" w:rsidP="002C1565">
      <w:r>
        <w:separator/>
      </w:r>
    </w:p>
  </w:endnote>
  <w:endnote w:type="continuationSeparator" w:id="0">
    <w:p w14:paraId="503102F1" w14:textId="77777777" w:rsidR="006E4C5A" w:rsidRDefault="006E4C5A" w:rsidP="002C1565">
      <w:r>
        <w:continuationSeparator/>
      </w:r>
    </w:p>
  </w:endnote>
  <w:endnote w:type="continuationNotice" w:id="1">
    <w:p w14:paraId="65DCDFF8" w14:textId="77777777" w:rsidR="006E4C5A" w:rsidRDefault="006E4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FA881" w14:textId="77777777" w:rsidR="006E4C5A" w:rsidRDefault="006E4C5A" w:rsidP="002C1565">
      <w:r>
        <w:separator/>
      </w:r>
    </w:p>
  </w:footnote>
  <w:footnote w:type="continuationSeparator" w:id="0">
    <w:p w14:paraId="39D3E36E" w14:textId="77777777" w:rsidR="006E4C5A" w:rsidRDefault="006E4C5A" w:rsidP="002C1565">
      <w:r>
        <w:continuationSeparator/>
      </w:r>
    </w:p>
  </w:footnote>
  <w:footnote w:type="continuationNotice" w:id="1">
    <w:p w14:paraId="00D61820" w14:textId="77777777" w:rsidR="006E4C5A" w:rsidRDefault="006E4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7CA2EB74"/>
    <w:lvl w:ilvl="0">
      <w:start w:val="1"/>
      <w:numFmt w:val="decimal"/>
      <w:pStyle w:val="EPMNumberedHeading"/>
      <w:lvlText w:val="%1."/>
      <w:lvlJc w:val="left"/>
      <w:pPr>
        <w:ind w:left="2345" w:hanging="360"/>
      </w:pPr>
    </w:lvl>
    <w:lvl w:ilvl="1">
      <w:start w:val="1"/>
      <w:numFmt w:val="decimal"/>
      <w:pStyle w:val="EPMNumberedSubheading"/>
      <w:lvlText w:val="%1.%2."/>
      <w:lvlJc w:val="left"/>
      <w:pPr>
        <w:ind w:left="1284"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BF0254A4"/>
    <w:lvl w:ilvl="0" w:tplc="73585346">
      <w:start w:val="21"/>
      <w:numFmt w:val="bullet"/>
      <w:pStyle w:val="EPMBullets"/>
      <w:lvlText w:val="•"/>
      <w:lvlJc w:val="left"/>
      <w:pPr>
        <w:ind w:left="2422" w:hanging="360"/>
      </w:pPr>
      <w:rPr>
        <w:color w:val="auto"/>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303122336">
    <w:abstractNumId w:val="0"/>
  </w:num>
  <w:num w:numId="22" w16cid:durableId="1425687562">
    <w:abstractNumId w:val="0"/>
  </w:num>
  <w:num w:numId="23" w16cid:durableId="1189493503">
    <w:abstractNumId w:val="0"/>
  </w:num>
  <w:num w:numId="24" w16cid:durableId="1208951479">
    <w:abstractNumId w:val="0"/>
  </w:num>
  <w:num w:numId="25" w16cid:durableId="20564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05854"/>
    <w:rsid w:val="000168DE"/>
    <w:rsid w:val="000232A2"/>
    <w:rsid w:val="00026385"/>
    <w:rsid w:val="0004555D"/>
    <w:rsid w:val="000516BA"/>
    <w:rsid w:val="00060976"/>
    <w:rsid w:val="00074A02"/>
    <w:rsid w:val="00086C85"/>
    <w:rsid w:val="000A5941"/>
    <w:rsid w:val="000A68CD"/>
    <w:rsid w:val="000A69A2"/>
    <w:rsid w:val="000A7D76"/>
    <w:rsid w:val="000B252F"/>
    <w:rsid w:val="000C3D4D"/>
    <w:rsid w:val="000D26FC"/>
    <w:rsid w:val="000D586D"/>
    <w:rsid w:val="000E354F"/>
    <w:rsid w:val="000E74DD"/>
    <w:rsid w:val="000E77C6"/>
    <w:rsid w:val="000F0751"/>
    <w:rsid w:val="000F303F"/>
    <w:rsid w:val="000F7448"/>
    <w:rsid w:val="0010096E"/>
    <w:rsid w:val="00105E6D"/>
    <w:rsid w:val="001071FF"/>
    <w:rsid w:val="001143F5"/>
    <w:rsid w:val="0012399B"/>
    <w:rsid w:val="00134DAB"/>
    <w:rsid w:val="00135C92"/>
    <w:rsid w:val="00136437"/>
    <w:rsid w:val="001366AA"/>
    <w:rsid w:val="001372BA"/>
    <w:rsid w:val="00160019"/>
    <w:rsid w:val="00161F18"/>
    <w:rsid w:val="00170CC7"/>
    <w:rsid w:val="00173389"/>
    <w:rsid w:val="00176686"/>
    <w:rsid w:val="00177F73"/>
    <w:rsid w:val="001854BB"/>
    <w:rsid w:val="0018763D"/>
    <w:rsid w:val="00194B7A"/>
    <w:rsid w:val="00196846"/>
    <w:rsid w:val="001A0B3B"/>
    <w:rsid w:val="001A20D2"/>
    <w:rsid w:val="001A611B"/>
    <w:rsid w:val="001B1080"/>
    <w:rsid w:val="001B2AF9"/>
    <w:rsid w:val="001B6889"/>
    <w:rsid w:val="001C0B5D"/>
    <w:rsid w:val="001C7B1E"/>
    <w:rsid w:val="001D2966"/>
    <w:rsid w:val="001D7A56"/>
    <w:rsid w:val="001E6BFE"/>
    <w:rsid w:val="001F30E8"/>
    <w:rsid w:val="001F6832"/>
    <w:rsid w:val="00202E5E"/>
    <w:rsid w:val="0020630D"/>
    <w:rsid w:val="002068A9"/>
    <w:rsid w:val="00211462"/>
    <w:rsid w:val="002159A7"/>
    <w:rsid w:val="00225B6D"/>
    <w:rsid w:val="00233792"/>
    <w:rsid w:val="0023592D"/>
    <w:rsid w:val="00237372"/>
    <w:rsid w:val="00253F82"/>
    <w:rsid w:val="0026127B"/>
    <w:rsid w:val="00263880"/>
    <w:rsid w:val="00274850"/>
    <w:rsid w:val="0027798D"/>
    <w:rsid w:val="00277A10"/>
    <w:rsid w:val="0028798F"/>
    <w:rsid w:val="0029016F"/>
    <w:rsid w:val="00290623"/>
    <w:rsid w:val="00295747"/>
    <w:rsid w:val="00297E29"/>
    <w:rsid w:val="002A5D5B"/>
    <w:rsid w:val="002A7010"/>
    <w:rsid w:val="002B7AC8"/>
    <w:rsid w:val="002C1565"/>
    <w:rsid w:val="002C2AD6"/>
    <w:rsid w:val="002C3365"/>
    <w:rsid w:val="002C3BE5"/>
    <w:rsid w:val="002D0CB0"/>
    <w:rsid w:val="002E77B7"/>
    <w:rsid w:val="002F3E3B"/>
    <w:rsid w:val="002F6DED"/>
    <w:rsid w:val="00306F8F"/>
    <w:rsid w:val="00314F04"/>
    <w:rsid w:val="00316D3F"/>
    <w:rsid w:val="003221AA"/>
    <w:rsid w:val="0033140E"/>
    <w:rsid w:val="003401BB"/>
    <w:rsid w:val="00344388"/>
    <w:rsid w:val="00344ED4"/>
    <w:rsid w:val="00345CB9"/>
    <w:rsid w:val="00347ED8"/>
    <w:rsid w:val="003606FB"/>
    <w:rsid w:val="003669B4"/>
    <w:rsid w:val="00366CF6"/>
    <w:rsid w:val="00374A02"/>
    <w:rsid w:val="00381412"/>
    <w:rsid w:val="00383DA9"/>
    <w:rsid w:val="00396B40"/>
    <w:rsid w:val="00397C89"/>
    <w:rsid w:val="003A4244"/>
    <w:rsid w:val="003B0246"/>
    <w:rsid w:val="003B488D"/>
    <w:rsid w:val="003C1487"/>
    <w:rsid w:val="003C3E17"/>
    <w:rsid w:val="003D1F26"/>
    <w:rsid w:val="003D52B6"/>
    <w:rsid w:val="003DD015"/>
    <w:rsid w:val="003E173C"/>
    <w:rsid w:val="003E3987"/>
    <w:rsid w:val="003E5727"/>
    <w:rsid w:val="003E6B07"/>
    <w:rsid w:val="003F16AA"/>
    <w:rsid w:val="003F555F"/>
    <w:rsid w:val="003F74E6"/>
    <w:rsid w:val="0040493A"/>
    <w:rsid w:val="00405DF7"/>
    <w:rsid w:val="00407A7E"/>
    <w:rsid w:val="0041342B"/>
    <w:rsid w:val="00414EEA"/>
    <w:rsid w:val="004150DF"/>
    <w:rsid w:val="0042005C"/>
    <w:rsid w:val="00421226"/>
    <w:rsid w:val="00432C7B"/>
    <w:rsid w:val="00436A9B"/>
    <w:rsid w:val="00436BCB"/>
    <w:rsid w:val="00440C30"/>
    <w:rsid w:val="00440E43"/>
    <w:rsid w:val="00450A63"/>
    <w:rsid w:val="004651D2"/>
    <w:rsid w:val="00474C02"/>
    <w:rsid w:val="00475C97"/>
    <w:rsid w:val="00481705"/>
    <w:rsid w:val="0048547F"/>
    <w:rsid w:val="004A09F4"/>
    <w:rsid w:val="004B06D6"/>
    <w:rsid w:val="004C20EA"/>
    <w:rsid w:val="004C796A"/>
    <w:rsid w:val="004D1ADD"/>
    <w:rsid w:val="004D2DC9"/>
    <w:rsid w:val="004D51C9"/>
    <w:rsid w:val="004E23E5"/>
    <w:rsid w:val="004E7180"/>
    <w:rsid w:val="00500552"/>
    <w:rsid w:val="005058A1"/>
    <w:rsid w:val="00506A52"/>
    <w:rsid w:val="005074CF"/>
    <w:rsid w:val="00512C09"/>
    <w:rsid w:val="005143DF"/>
    <w:rsid w:val="00525663"/>
    <w:rsid w:val="00526007"/>
    <w:rsid w:val="00531B63"/>
    <w:rsid w:val="00537170"/>
    <w:rsid w:val="005463F7"/>
    <w:rsid w:val="00547D8D"/>
    <w:rsid w:val="00556E67"/>
    <w:rsid w:val="0055777F"/>
    <w:rsid w:val="00561013"/>
    <w:rsid w:val="005646F4"/>
    <w:rsid w:val="00566160"/>
    <w:rsid w:val="005748EB"/>
    <w:rsid w:val="00586592"/>
    <w:rsid w:val="00590602"/>
    <w:rsid w:val="00597562"/>
    <w:rsid w:val="005A00E0"/>
    <w:rsid w:val="005A1085"/>
    <w:rsid w:val="005A3406"/>
    <w:rsid w:val="005A65F1"/>
    <w:rsid w:val="005B5E37"/>
    <w:rsid w:val="005C1884"/>
    <w:rsid w:val="005C35A4"/>
    <w:rsid w:val="005C3F16"/>
    <w:rsid w:val="005C71A7"/>
    <w:rsid w:val="005D15EC"/>
    <w:rsid w:val="005D1ED7"/>
    <w:rsid w:val="005F4414"/>
    <w:rsid w:val="005F48DA"/>
    <w:rsid w:val="005F4A9C"/>
    <w:rsid w:val="00602503"/>
    <w:rsid w:val="00604313"/>
    <w:rsid w:val="00606CBC"/>
    <w:rsid w:val="006100ED"/>
    <w:rsid w:val="00613B7B"/>
    <w:rsid w:val="00642B63"/>
    <w:rsid w:val="00643ACD"/>
    <w:rsid w:val="00661D8E"/>
    <w:rsid w:val="006656E0"/>
    <w:rsid w:val="00666C8A"/>
    <w:rsid w:val="0067186A"/>
    <w:rsid w:val="0067306B"/>
    <w:rsid w:val="00681551"/>
    <w:rsid w:val="006822DD"/>
    <w:rsid w:val="0069180E"/>
    <w:rsid w:val="00696FEE"/>
    <w:rsid w:val="0069793D"/>
    <w:rsid w:val="006A5EB9"/>
    <w:rsid w:val="006A60C0"/>
    <w:rsid w:val="006B21DC"/>
    <w:rsid w:val="006D1117"/>
    <w:rsid w:val="006E070E"/>
    <w:rsid w:val="006E4C5A"/>
    <w:rsid w:val="00706B27"/>
    <w:rsid w:val="00715684"/>
    <w:rsid w:val="007174A0"/>
    <w:rsid w:val="007204B3"/>
    <w:rsid w:val="0072376E"/>
    <w:rsid w:val="0073129F"/>
    <w:rsid w:val="00744158"/>
    <w:rsid w:val="00747310"/>
    <w:rsid w:val="00752300"/>
    <w:rsid w:val="007573AD"/>
    <w:rsid w:val="00764716"/>
    <w:rsid w:val="00766210"/>
    <w:rsid w:val="0077328B"/>
    <w:rsid w:val="0077514E"/>
    <w:rsid w:val="00776B19"/>
    <w:rsid w:val="00781BBA"/>
    <w:rsid w:val="00782476"/>
    <w:rsid w:val="007934AF"/>
    <w:rsid w:val="007B0A2A"/>
    <w:rsid w:val="007B14AC"/>
    <w:rsid w:val="007C3693"/>
    <w:rsid w:val="007D4D29"/>
    <w:rsid w:val="007E2FF9"/>
    <w:rsid w:val="007E43E0"/>
    <w:rsid w:val="007E777D"/>
    <w:rsid w:val="007E7A16"/>
    <w:rsid w:val="008078DF"/>
    <w:rsid w:val="00807B8E"/>
    <w:rsid w:val="00810758"/>
    <w:rsid w:val="00822153"/>
    <w:rsid w:val="008379A5"/>
    <w:rsid w:val="008414A4"/>
    <w:rsid w:val="008535B3"/>
    <w:rsid w:val="00853783"/>
    <w:rsid w:val="008546C6"/>
    <w:rsid w:val="00854B92"/>
    <w:rsid w:val="008566A6"/>
    <w:rsid w:val="008605D9"/>
    <w:rsid w:val="008619F1"/>
    <w:rsid w:val="00866EE3"/>
    <w:rsid w:val="00871BB4"/>
    <w:rsid w:val="00876241"/>
    <w:rsid w:val="00876676"/>
    <w:rsid w:val="00876869"/>
    <w:rsid w:val="00884B6B"/>
    <w:rsid w:val="00895306"/>
    <w:rsid w:val="00897ED5"/>
    <w:rsid w:val="008B38EA"/>
    <w:rsid w:val="008B3B7E"/>
    <w:rsid w:val="008C1071"/>
    <w:rsid w:val="008C3D8B"/>
    <w:rsid w:val="008D27A6"/>
    <w:rsid w:val="008E40A1"/>
    <w:rsid w:val="008F524E"/>
    <w:rsid w:val="00900C4E"/>
    <w:rsid w:val="009024E9"/>
    <w:rsid w:val="009043C3"/>
    <w:rsid w:val="009061CD"/>
    <w:rsid w:val="009154B6"/>
    <w:rsid w:val="00931AF6"/>
    <w:rsid w:val="00935231"/>
    <w:rsid w:val="00945C3A"/>
    <w:rsid w:val="00950EF6"/>
    <w:rsid w:val="00956AAE"/>
    <w:rsid w:val="009609E2"/>
    <w:rsid w:val="0096257B"/>
    <w:rsid w:val="00975D06"/>
    <w:rsid w:val="0099024B"/>
    <w:rsid w:val="00993476"/>
    <w:rsid w:val="00993A49"/>
    <w:rsid w:val="00996D72"/>
    <w:rsid w:val="009A218D"/>
    <w:rsid w:val="009A3802"/>
    <w:rsid w:val="009A5607"/>
    <w:rsid w:val="009B2A9D"/>
    <w:rsid w:val="009B4EF2"/>
    <w:rsid w:val="009C2A51"/>
    <w:rsid w:val="009C72ED"/>
    <w:rsid w:val="009D79E8"/>
    <w:rsid w:val="009E6F3E"/>
    <w:rsid w:val="009F46DB"/>
    <w:rsid w:val="009F6988"/>
    <w:rsid w:val="00A00A0D"/>
    <w:rsid w:val="00A01F7C"/>
    <w:rsid w:val="00A04FCD"/>
    <w:rsid w:val="00A24DEE"/>
    <w:rsid w:val="00A31C48"/>
    <w:rsid w:val="00A43BDD"/>
    <w:rsid w:val="00A44F75"/>
    <w:rsid w:val="00A45D24"/>
    <w:rsid w:val="00A56814"/>
    <w:rsid w:val="00A70CE0"/>
    <w:rsid w:val="00A7502D"/>
    <w:rsid w:val="00A85732"/>
    <w:rsid w:val="00A905D0"/>
    <w:rsid w:val="00A95898"/>
    <w:rsid w:val="00A97C4C"/>
    <w:rsid w:val="00AA5AB6"/>
    <w:rsid w:val="00AA6069"/>
    <w:rsid w:val="00AB3286"/>
    <w:rsid w:val="00AB59B6"/>
    <w:rsid w:val="00AD0DE2"/>
    <w:rsid w:val="00AE2D2C"/>
    <w:rsid w:val="00AE3375"/>
    <w:rsid w:val="00AE371E"/>
    <w:rsid w:val="00AE6E21"/>
    <w:rsid w:val="00AE6F5A"/>
    <w:rsid w:val="00AF40EF"/>
    <w:rsid w:val="00B00B0B"/>
    <w:rsid w:val="00B03004"/>
    <w:rsid w:val="00B031AA"/>
    <w:rsid w:val="00B05C59"/>
    <w:rsid w:val="00B0644B"/>
    <w:rsid w:val="00B07592"/>
    <w:rsid w:val="00B16C6E"/>
    <w:rsid w:val="00B217E1"/>
    <w:rsid w:val="00B26BE6"/>
    <w:rsid w:val="00B26DB7"/>
    <w:rsid w:val="00B31D09"/>
    <w:rsid w:val="00B43F95"/>
    <w:rsid w:val="00B52014"/>
    <w:rsid w:val="00B536C9"/>
    <w:rsid w:val="00B56C3C"/>
    <w:rsid w:val="00B57531"/>
    <w:rsid w:val="00B64C30"/>
    <w:rsid w:val="00B66E73"/>
    <w:rsid w:val="00B76064"/>
    <w:rsid w:val="00B82F82"/>
    <w:rsid w:val="00B96AC6"/>
    <w:rsid w:val="00BA310B"/>
    <w:rsid w:val="00BC3D14"/>
    <w:rsid w:val="00BC7D74"/>
    <w:rsid w:val="00BD195D"/>
    <w:rsid w:val="00BD2006"/>
    <w:rsid w:val="00BE06FC"/>
    <w:rsid w:val="00BE2F12"/>
    <w:rsid w:val="00BF093F"/>
    <w:rsid w:val="00BF5C2B"/>
    <w:rsid w:val="00C1776C"/>
    <w:rsid w:val="00C2446C"/>
    <w:rsid w:val="00C26CAA"/>
    <w:rsid w:val="00C4002E"/>
    <w:rsid w:val="00C70BD6"/>
    <w:rsid w:val="00C714D8"/>
    <w:rsid w:val="00C7273B"/>
    <w:rsid w:val="00C72AEC"/>
    <w:rsid w:val="00C76AFF"/>
    <w:rsid w:val="00C856EF"/>
    <w:rsid w:val="00C90711"/>
    <w:rsid w:val="00C91E4C"/>
    <w:rsid w:val="00C92092"/>
    <w:rsid w:val="00C9409C"/>
    <w:rsid w:val="00C94A88"/>
    <w:rsid w:val="00CA0A11"/>
    <w:rsid w:val="00CA6DA8"/>
    <w:rsid w:val="00CC0187"/>
    <w:rsid w:val="00CC3513"/>
    <w:rsid w:val="00CC368F"/>
    <w:rsid w:val="00CD2F0D"/>
    <w:rsid w:val="00CD3B16"/>
    <w:rsid w:val="00CD5603"/>
    <w:rsid w:val="00CE0AB2"/>
    <w:rsid w:val="00CE3DA9"/>
    <w:rsid w:val="00CE57D7"/>
    <w:rsid w:val="00CE59BB"/>
    <w:rsid w:val="00CE7F25"/>
    <w:rsid w:val="00CF58FF"/>
    <w:rsid w:val="00CF6D6E"/>
    <w:rsid w:val="00D038C2"/>
    <w:rsid w:val="00D03935"/>
    <w:rsid w:val="00D07A72"/>
    <w:rsid w:val="00D26048"/>
    <w:rsid w:val="00D31B75"/>
    <w:rsid w:val="00D366E6"/>
    <w:rsid w:val="00D37962"/>
    <w:rsid w:val="00D43B02"/>
    <w:rsid w:val="00D55A17"/>
    <w:rsid w:val="00D5604A"/>
    <w:rsid w:val="00D70D35"/>
    <w:rsid w:val="00D7609E"/>
    <w:rsid w:val="00D77C56"/>
    <w:rsid w:val="00D81FB7"/>
    <w:rsid w:val="00D86226"/>
    <w:rsid w:val="00D87A94"/>
    <w:rsid w:val="00D87B9B"/>
    <w:rsid w:val="00D96BEF"/>
    <w:rsid w:val="00DA7034"/>
    <w:rsid w:val="00DB259C"/>
    <w:rsid w:val="00DC34A0"/>
    <w:rsid w:val="00DC4A06"/>
    <w:rsid w:val="00DE36AC"/>
    <w:rsid w:val="00DF7A1F"/>
    <w:rsid w:val="00E05C82"/>
    <w:rsid w:val="00E1064B"/>
    <w:rsid w:val="00E2397A"/>
    <w:rsid w:val="00E34457"/>
    <w:rsid w:val="00E40C60"/>
    <w:rsid w:val="00E43C78"/>
    <w:rsid w:val="00E50360"/>
    <w:rsid w:val="00E5165C"/>
    <w:rsid w:val="00E56B4C"/>
    <w:rsid w:val="00E72C80"/>
    <w:rsid w:val="00E81934"/>
    <w:rsid w:val="00E908BE"/>
    <w:rsid w:val="00E92460"/>
    <w:rsid w:val="00E955FF"/>
    <w:rsid w:val="00EA39F5"/>
    <w:rsid w:val="00EB20E8"/>
    <w:rsid w:val="00EC26CF"/>
    <w:rsid w:val="00EC36C4"/>
    <w:rsid w:val="00EC3DA6"/>
    <w:rsid w:val="00ED03F8"/>
    <w:rsid w:val="00ED1D4E"/>
    <w:rsid w:val="00EF68C6"/>
    <w:rsid w:val="00F0305F"/>
    <w:rsid w:val="00F046AC"/>
    <w:rsid w:val="00F10C5F"/>
    <w:rsid w:val="00F13DD1"/>
    <w:rsid w:val="00F17EA3"/>
    <w:rsid w:val="00F23E85"/>
    <w:rsid w:val="00F30DD3"/>
    <w:rsid w:val="00F3311D"/>
    <w:rsid w:val="00F33482"/>
    <w:rsid w:val="00F40AC8"/>
    <w:rsid w:val="00F44082"/>
    <w:rsid w:val="00F47E66"/>
    <w:rsid w:val="00F51696"/>
    <w:rsid w:val="00F519E2"/>
    <w:rsid w:val="00F51B69"/>
    <w:rsid w:val="00F54650"/>
    <w:rsid w:val="00F560D0"/>
    <w:rsid w:val="00F66A35"/>
    <w:rsid w:val="00F84BE2"/>
    <w:rsid w:val="00FA43AC"/>
    <w:rsid w:val="00FB08C8"/>
    <w:rsid w:val="00FB5876"/>
    <w:rsid w:val="00FC64D7"/>
    <w:rsid w:val="00FE292D"/>
    <w:rsid w:val="00FE56C3"/>
    <w:rsid w:val="02D3D540"/>
    <w:rsid w:val="03580762"/>
    <w:rsid w:val="06397844"/>
    <w:rsid w:val="0CF3C41E"/>
    <w:rsid w:val="0D13E3AA"/>
    <w:rsid w:val="14AE7507"/>
    <w:rsid w:val="15B24D8F"/>
    <w:rsid w:val="19917162"/>
    <w:rsid w:val="1A6C4B20"/>
    <w:rsid w:val="1C39607A"/>
    <w:rsid w:val="1D06C057"/>
    <w:rsid w:val="1DC4C1A2"/>
    <w:rsid w:val="1DF9EBD2"/>
    <w:rsid w:val="218ED516"/>
    <w:rsid w:val="2290463A"/>
    <w:rsid w:val="24FEC3AB"/>
    <w:rsid w:val="2787A5BB"/>
    <w:rsid w:val="27BC1352"/>
    <w:rsid w:val="28CEFD6C"/>
    <w:rsid w:val="2BDCD3EB"/>
    <w:rsid w:val="2F3C9018"/>
    <w:rsid w:val="2F55A0E5"/>
    <w:rsid w:val="30F17146"/>
    <w:rsid w:val="30F99DF4"/>
    <w:rsid w:val="31AF30AF"/>
    <w:rsid w:val="324BB209"/>
    <w:rsid w:val="35B1A071"/>
    <w:rsid w:val="387C1EE2"/>
    <w:rsid w:val="38EB877C"/>
    <w:rsid w:val="3A68C654"/>
    <w:rsid w:val="3BB2214D"/>
    <w:rsid w:val="3D92DEB0"/>
    <w:rsid w:val="3DF0E347"/>
    <w:rsid w:val="3E2779B4"/>
    <w:rsid w:val="4435E786"/>
    <w:rsid w:val="45F7F86C"/>
    <w:rsid w:val="464E7F2A"/>
    <w:rsid w:val="471DA901"/>
    <w:rsid w:val="4B9336D8"/>
    <w:rsid w:val="4C8FE370"/>
    <w:rsid w:val="4E9DD9A8"/>
    <w:rsid w:val="528FD672"/>
    <w:rsid w:val="532DB60D"/>
    <w:rsid w:val="54D53C37"/>
    <w:rsid w:val="558C1867"/>
    <w:rsid w:val="56617F54"/>
    <w:rsid w:val="570D685D"/>
    <w:rsid w:val="5749A3E8"/>
    <w:rsid w:val="580CDCF9"/>
    <w:rsid w:val="581EE1A9"/>
    <w:rsid w:val="582B9391"/>
    <w:rsid w:val="5C5F0ABB"/>
    <w:rsid w:val="5C8A74A6"/>
    <w:rsid w:val="5DDF0ACA"/>
    <w:rsid w:val="5E264507"/>
    <w:rsid w:val="5E38BE76"/>
    <w:rsid w:val="63277BBE"/>
    <w:rsid w:val="63FB11AC"/>
    <w:rsid w:val="654DDE98"/>
    <w:rsid w:val="681F02F5"/>
    <w:rsid w:val="6E5EB7E8"/>
    <w:rsid w:val="73BF0A9F"/>
    <w:rsid w:val="73EA748A"/>
    <w:rsid w:val="764AA31D"/>
    <w:rsid w:val="7B2BE4B0"/>
    <w:rsid w:val="7F3ED4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E17F8D13-DBCE-4041-867F-5E7D2A21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4150DF"/>
    <w:pPr>
      <w:numPr>
        <w:numId w:val="10"/>
      </w:numPr>
      <w:spacing w:before="120" w:after="120"/>
      <w:ind w:left="1560"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154B6"/>
    <w:pPr>
      <w:numPr>
        <w:numId w:val="12"/>
      </w:numPr>
      <w:spacing w:before="360"/>
      <w:ind w:left="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Textstyle"/>
    <w:link w:val="EPMNumberedSubheadingChar"/>
    <w:qFormat/>
    <w:rsid w:val="000F303F"/>
    <w:pPr>
      <w:numPr>
        <w:ilvl w:val="1"/>
        <w:numId w:val="12"/>
      </w:numPr>
      <w:tabs>
        <w:tab w:val="clear" w:pos="567"/>
      </w:tabs>
      <w:ind w:left="1134" w:hanging="567"/>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69180E"/>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0F303F"/>
    <w:rPr>
      <w:rFonts w:ascii="Arial" w:hAnsi="Arial" w:cs="Arial"/>
      <w:b w:val="0"/>
      <w:bCs w:val="0"/>
      <w:sz w:val="21"/>
      <w:szCs w:val="20"/>
    </w:rPr>
  </w:style>
  <w:style w:type="character" w:customStyle="1" w:styleId="EPMNumberedsubheading2Char">
    <w:name w:val="EPM Numbered subheading 2 Char"/>
    <w:basedOn w:val="EPMSubheadingChar"/>
    <w:link w:val="EPMNumberedsubheading2"/>
    <w:rsid w:val="0069180E"/>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3D52B6"/>
    <w:pPr>
      <w:tabs>
        <w:tab w:val="left" w:pos="567"/>
        <w:tab w:val="right" w:pos="9854"/>
      </w:tabs>
      <w:spacing w:after="100"/>
    </w:pPr>
  </w:style>
  <w:style w:type="paragraph" w:styleId="Revision">
    <w:name w:val="Revision"/>
    <w:hidden/>
    <w:uiPriority w:val="99"/>
    <w:semiHidden/>
    <w:rsid w:val="003E17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df6c1-bcf1-425c-b09a-239f849ecf8e">
      <Terms xmlns="http://schemas.microsoft.com/office/infopath/2007/PartnerControls"/>
    </lcf76f155ced4ddcb4097134ff3c332f>
    <TaxCatchAll xmlns="9affaf54-eb8f-4f2b-846c-0edd3788e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4749E853C4A45B89B8F4A7C1E44C5" ma:contentTypeVersion="19" ma:contentTypeDescription="Create a new document." ma:contentTypeScope="" ma:versionID="1e35f5ce28f9c9aae66df734f2b1f5f0">
  <xsd:schema xmlns:xsd="http://www.w3.org/2001/XMLSchema" xmlns:xs="http://www.w3.org/2001/XMLSchema" xmlns:p="http://schemas.microsoft.com/office/2006/metadata/properties" xmlns:ns2="337df6c1-bcf1-425c-b09a-239f849ecf8e" xmlns:ns3="9affaf54-eb8f-4f2b-846c-0edd3788e7cd" targetNamespace="http://schemas.microsoft.com/office/2006/metadata/properties" ma:root="true" ma:fieldsID="1f291c4fc0038ef022c9e923ad528ed3" ns2:_="" ns3:_="">
    <xsd:import namespace="337df6c1-bcf1-425c-b09a-239f849ecf8e"/>
    <xsd:import namespace="9affaf54-eb8f-4f2b-846c-0edd3788e7c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df6c1-bcf1-425c-b09a-239f849ec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9494-d9fc-4af2-b1b2-d1425649dd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af54-eb8f-4f2b-846c-0edd3788e7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28ad76-87d8-4314-b9d8-93d469e65062}" ma:internalName="TaxCatchAll" ma:showField="CatchAllData" ma:web="9affaf54-eb8f-4f2b-846c-0edd3788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337df6c1-bcf1-425c-b09a-239f849ecf8e"/>
    <ds:schemaRef ds:uri="9affaf54-eb8f-4f2b-846c-0edd3788e7cd"/>
  </ds:schemaRefs>
</ds:datastoreItem>
</file>

<file path=customXml/itemProps3.xml><?xml version="1.0" encoding="utf-8"?>
<ds:datastoreItem xmlns:ds="http://schemas.openxmlformats.org/officeDocument/2006/customXml" ds:itemID="{58C89958-8A76-4505-BE4A-F48A5EAD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df6c1-bcf1-425c-b09a-239f849ecf8e"/>
    <ds:schemaRef ds:uri="9affaf54-eb8f-4f2b-846c-0edd3788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Links>
    <vt:vector size="78" baseType="variant">
      <vt:variant>
        <vt:i4>1441842</vt:i4>
      </vt:variant>
      <vt:variant>
        <vt:i4>74</vt:i4>
      </vt:variant>
      <vt:variant>
        <vt:i4>0</vt:i4>
      </vt:variant>
      <vt:variant>
        <vt:i4>5</vt:i4>
      </vt:variant>
      <vt:variant>
        <vt:lpwstr/>
      </vt:variant>
      <vt:variant>
        <vt:lpwstr>_Toc170202368</vt:lpwstr>
      </vt:variant>
      <vt:variant>
        <vt:i4>1441842</vt:i4>
      </vt:variant>
      <vt:variant>
        <vt:i4>68</vt:i4>
      </vt:variant>
      <vt:variant>
        <vt:i4>0</vt:i4>
      </vt:variant>
      <vt:variant>
        <vt:i4>5</vt:i4>
      </vt:variant>
      <vt:variant>
        <vt:lpwstr/>
      </vt:variant>
      <vt:variant>
        <vt:lpwstr>_Toc170202367</vt:lpwstr>
      </vt:variant>
      <vt:variant>
        <vt:i4>1441842</vt:i4>
      </vt:variant>
      <vt:variant>
        <vt:i4>62</vt:i4>
      </vt:variant>
      <vt:variant>
        <vt:i4>0</vt:i4>
      </vt:variant>
      <vt:variant>
        <vt:i4>5</vt:i4>
      </vt:variant>
      <vt:variant>
        <vt:lpwstr/>
      </vt:variant>
      <vt:variant>
        <vt:lpwstr>_Toc170202366</vt:lpwstr>
      </vt:variant>
      <vt:variant>
        <vt:i4>1441842</vt:i4>
      </vt:variant>
      <vt:variant>
        <vt:i4>56</vt:i4>
      </vt:variant>
      <vt:variant>
        <vt:i4>0</vt:i4>
      </vt:variant>
      <vt:variant>
        <vt:i4>5</vt:i4>
      </vt:variant>
      <vt:variant>
        <vt:lpwstr/>
      </vt:variant>
      <vt:variant>
        <vt:lpwstr>_Toc170202365</vt:lpwstr>
      </vt:variant>
      <vt:variant>
        <vt:i4>1441842</vt:i4>
      </vt:variant>
      <vt:variant>
        <vt:i4>50</vt:i4>
      </vt:variant>
      <vt:variant>
        <vt:i4>0</vt:i4>
      </vt:variant>
      <vt:variant>
        <vt:i4>5</vt:i4>
      </vt:variant>
      <vt:variant>
        <vt:lpwstr/>
      </vt:variant>
      <vt:variant>
        <vt:lpwstr>_Toc170202364</vt:lpwstr>
      </vt:variant>
      <vt:variant>
        <vt:i4>1441842</vt:i4>
      </vt:variant>
      <vt:variant>
        <vt:i4>44</vt:i4>
      </vt:variant>
      <vt:variant>
        <vt:i4>0</vt:i4>
      </vt:variant>
      <vt:variant>
        <vt:i4>5</vt:i4>
      </vt:variant>
      <vt:variant>
        <vt:lpwstr/>
      </vt:variant>
      <vt:variant>
        <vt:lpwstr>_Toc170202363</vt:lpwstr>
      </vt:variant>
      <vt:variant>
        <vt:i4>1441842</vt:i4>
      </vt:variant>
      <vt:variant>
        <vt:i4>38</vt:i4>
      </vt:variant>
      <vt:variant>
        <vt:i4>0</vt:i4>
      </vt:variant>
      <vt:variant>
        <vt:i4>5</vt:i4>
      </vt:variant>
      <vt:variant>
        <vt:lpwstr/>
      </vt:variant>
      <vt:variant>
        <vt:lpwstr>_Toc170202361</vt:lpwstr>
      </vt:variant>
      <vt:variant>
        <vt:i4>1441842</vt:i4>
      </vt:variant>
      <vt:variant>
        <vt:i4>32</vt:i4>
      </vt:variant>
      <vt:variant>
        <vt:i4>0</vt:i4>
      </vt:variant>
      <vt:variant>
        <vt:i4>5</vt:i4>
      </vt:variant>
      <vt:variant>
        <vt:lpwstr/>
      </vt:variant>
      <vt:variant>
        <vt:lpwstr>_Toc170202360</vt:lpwstr>
      </vt:variant>
      <vt:variant>
        <vt:i4>1376306</vt:i4>
      </vt:variant>
      <vt:variant>
        <vt:i4>26</vt:i4>
      </vt:variant>
      <vt:variant>
        <vt:i4>0</vt:i4>
      </vt:variant>
      <vt:variant>
        <vt:i4>5</vt:i4>
      </vt:variant>
      <vt:variant>
        <vt:lpwstr/>
      </vt:variant>
      <vt:variant>
        <vt:lpwstr>_Toc170202359</vt:lpwstr>
      </vt:variant>
      <vt:variant>
        <vt:i4>1376306</vt:i4>
      </vt:variant>
      <vt:variant>
        <vt:i4>20</vt:i4>
      </vt:variant>
      <vt:variant>
        <vt:i4>0</vt:i4>
      </vt:variant>
      <vt:variant>
        <vt:i4>5</vt:i4>
      </vt:variant>
      <vt:variant>
        <vt:lpwstr/>
      </vt:variant>
      <vt:variant>
        <vt:lpwstr>_Toc170202358</vt:lpwstr>
      </vt:variant>
      <vt:variant>
        <vt:i4>1376306</vt:i4>
      </vt:variant>
      <vt:variant>
        <vt:i4>14</vt:i4>
      </vt:variant>
      <vt:variant>
        <vt:i4>0</vt:i4>
      </vt:variant>
      <vt:variant>
        <vt:i4>5</vt:i4>
      </vt:variant>
      <vt:variant>
        <vt:lpwstr/>
      </vt:variant>
      <vt:variant>
        <vt:lpwstr>_Toc170202357</vt:lpwstr>
      </vt:variant>
      <vt:variant>
        <vt:i4>1376306</vt:i4>
      </vt:variant>
      <vt:variant>
        <vt:i4>8</vt:i4>
      </vt:variant>
      <vt:variant>
        <vt:i4>0</vt:i4>
      </vt:variant>
      <vt:variant>
        <vt:i4>5</vt:i4>
      </vt:variant>
      <vt:variant>
        <vt:lpwstr/>
      </vt:variant>
      <vt:variant>
        <vt:lpwstr>_Toc170202356</vt:lpwstr>
      </vt:variant>
      <vt:variant>
        <vt:i4>1376306</vt:i4>
      </vt:variant>
      <vt:variant>
        <vt:i4>2</vt:i4>
      </vt:variant>
      <vt:variant>
        <vt:i4>0</vt:i4>
      </vt:variant>
      <vt:variant>
        <vt:i4>5</vt:i4>
      </vt:variant>
      <vt:variant>
        <vt:lpwstr/>
      </vt:variant>
      <vt:variant>
        <vt:lpwstr>_Toc170202355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Naomi Griffiths</cp:lastModifiedBy>
  <cp:revision>21</cp:revision>
  <dcterms:created xsi:type="dcterms:W3CDTF">2025-09-11T13:15:00Z</dcterms:created>
  <dcterms:modified xsi:type="dcterms:W3CDTF">2025-09-11T13:54:00Z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MediaServiceImageTags">
    <vt:lpwstr/>
  </property>
  <property fmtid="{D5CDD505-2E9C-101B-9397-08002B2CF9AE}" pid="10" name="ContentTypeId">
    <vt:lpwstr>0x010100AB44749E853C4A45B89B8F4A7C1E44C5</vt:lpwstr>
  </property>
</Properties>
</file>