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Janitor</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bookmarkStart w:colFirst="0" w:colLast="0" w:name="_heading=h.gjdgxs" w:id="0"/>
            <w:bookmarkEnd w:id="0"/>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DFT 1</w:t>
            </w:r>
          </w:p>
        </w:tc>
      </w:tr>
      <w:tr>
        <w:trPr>
          <w:cantSplit w:val="0"/>
          <w:tblHeader w:val="0"/>
        </w:trPr>
        <w:tc>
          <w:tcPr>
            <w:shd w:fill="auto" w:val="clear"/>
          </w:tcPr>
          <w:p w:rsidR="00000000" w:rsidDel="00000000" w:rsidP="00000000" w:rsidRDefault="00000000" w:rsidRPr="00000000" w14:paraId="0000000D">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name:</w:t>
            </w:r>
          </w:p>
        </w:tc>
        <w:tc>
          <w:tcPr>
            <w:shd w:fill="auto" w:val="clear"/>
          </w:tcPr>
          <w:p w:rsidR="00000000" w:rsidDel="00000000" w:rsidP="00000000" w:rsidRDefault="00000000" w:rsidRPr="00000000" w14:paraId="0000000E">
            <w:pPr>
              <w:tabs>
                <w:tab w:val="left" w:leader="none" w:pos="7970"/>
              </w:tabs>
              <w:rPr>
                <w:rFonts w:ascii="Arial" w:cs="Arial" w:eastAsia="Arial" w:hAnsi="Arial"/>
                <w:sz w:val="28"/>
                <w:szCs w:val="28"/>
              </w:rPr>
            </w:pPr>
            <w:bookmarkStart w:colFirst="0" w:colLast="0" w:name="_heading=h.gjdgxs" w:id="0"/>
            <w:bookmarkEnd w:id="0"/>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signature:</w:t>
            </w:r>
          </w:p>
        </w:tc>
        <w:tc>
          <w:tcPr>
            <w:shd w:fill="auto" w:val="clear"/>
          </w:tcPr>
          <w:p w:rsidR="00000000" w:rsidDel="00000000" w:rsidP="00000000" w:rsidRDefault="00000000" w:rsidRPr="00000000" w14:paraId="00000010">
            <w:pPr>
              <w:tabs>
                <w:tab w:val="left" w:leader="none" w:pos="7970"/>
              </w:tabs>
              <w:rPr>
                <w:rFonts w:ascii="Arial" w:cs="Arial" w:eastAsia="Arial" w:hAnsi="Arial"/>
                <w:sz w:val="28"/>
                <w:szCs w:val="28"/>
              </w:rPr>
            </w:pPr>
            <w:bookmarkStart w:colFirst="0" w:colLast="0" w:name="_heading=h.gjdgxs" w:id="0"/>
            <w:bookmarkEnd w:id="0"/>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Fonts w:ascii="Arial" w:cs="Arial" w:eastAsia="Arial" w:hAnsi="Arial"/>
          <w:b w:val="1"/>
          <w:i w:val="0"/>
          <w:smallCaps w:val="1"/>
          <w:strike w:val="0"/>
          <w:color w:val="005e25"/>
          <w:sz w:val="55"/>
          <w:szCs w:val="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0" w:right="2641" w:firstLine="0"/>
        <w:jc w:val="left"/>
        <w:rPr>
          <w:rFonts w:ascii="Arial" w:cs="Arial" w:eastAsia="Arial" w:hAnsi="Arial"/>
          <w:b w:val="1"/>
          <w:i w:val="0"/>
          <w:smallCaps w:val="1"/>
          <w:strike w:val="0"/>
          <w:color w:val="005e25"/>
          <w:sz w:val="40"/>
          <w:szCs w:val="40"/>
          <w:u w:val="none"/>
          <w:shd w:fill="auto" w:val="clear"/>
          <w:vertAlign w:val="baseline"/>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ROLE OVERVIEW: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the management of all aspects of the site including security, cleanliness, porterage, monitoring of contracts, routine maintenance and minor repairs.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KEY ACCOUNTABILITIES: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SECURITY AND SAFETY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7"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Unlock and secure premises at agreed times for Academy use as directed and maintain the key(s) in their possession for emergency call-out.</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that the heating and lighting systems are operating satisfactorily and report to the line manager.</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fire and/or security alarms are working satisfactorily.</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premises are in a safe, tidy and satisfactory condition.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help with the setting up and clearing away of equipment and furniture.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on-site security during working hours, and the supervision of buildings and grounds to prevent damage and nuisance.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vigilance for Health &amp; Safety concerns in and around the building including checking outside area for syringes, broken glass etc., and disposing appropriately.</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that correct protocols are adopted in the event of an emergency.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MAINTENANCE AND CLEANING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4"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undertake any site cleaning or general maintenance as required.</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Dispose of such waste materials arising from the use of the premises as are not covered by alternative arrangements.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 such consumables on the premises in appropriate locations as are not covered by alternative arrangements e.g. toilet rolls, soap, towels etc.</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 designated areas not covered by alternative arrangements, e.g. outside areas, car parks, drains, boiler house, stores etc.   This may include cleaning up after contractors during Academy closure periods.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arrange to clear blockages, remove foreign matter from sinks, toilets, drains, and clean up spillages as required.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RESOURCES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9"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9"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portage and collection activities.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maintain appropriate records.  To report emergencies in the case of faults with gas, electric and water supply to the line manager.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attend to, where necessary, personnel visiting the site such as contractors, representatives of utilities (gas, electric) and monitor any work being carried out within the postholder’s area of responsibility.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SAFEGUARDING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6"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6"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Designated Safeguarding Lead (DSL) to promote the best interests of pupils, including sharing concerns where necessary.</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safeguarding of all pupils in the school.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CORPORATE RESPONSIBILITIES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support for and uphold our ethos, value, all policies and procedures.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high standards in attendance, punctuality and appearance adhering to Staff Code of Conduct.</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with professionalism, integrity at all times, promoting the Trust values.</w:t>
      </w:r>
    </w:p>
    <w:p w:rsidR="00000000" w:rsidDel="00000000" w:rsidP="00000000" w:rsidRDefault="00000000" w:rsidRPr="00000000" w14:paraId="00000044">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any reasonable request from a Principal or other Trust Leader to undertake work of a similar level or commensurate with role and level of responsibility that is not specified in this job description.</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data protection legislation and follow the principles of GDPR.</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commitment to equal opportunities and anti-discriminatory practice adhering to the Trust Equal Opportunities Policy.</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4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center"/>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PERSON SPECIFICATIONS: JANITOR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397" w:hRule="atLeast"/>
          <w:tblHeader w:val="0"/>
        </w:trPr>
        <w:tc>
          <w:tcPr>
            <w:shd w:fill="7030a0"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Education &amp; Qualifications</w:t>
            </w:r>
          </w:p>
        </w:tc>
        <w:tc>
          <w:tcPr>
            <w:shd w:fill="7030a0"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Essential</w:t>
            </w:r>
          </w:p>
        </w:tc>
        <w:tc>
          <w:tcPr>
            <w:shd w:fill="7030a0"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Desirable</w:t>
            </w:r>
          </w:p>
        </w:tc>
      </w:tr>
      <w:tr>
        <w:trPr>
          <w:cantSplit w:val="0"/>
          <w:trHeight w:val="397" w:hRule="atLeast"/>
          <w:tblHeader w:val="0"/>
        </w:trPr>
        <w:tc>
          <w:tcPr/>
          <w:p w:rsidR="00000000" w:rsidDel="00000000" w:rsidP="00000000" w:rsidRDefault="00000000" w:rsidRPr="00000000" w14:paraId="0000006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numeracy and literacy skills.</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Relevant first aid certificate.</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Experience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 related discipline.</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Knowledge &amp; Skills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understanding and ability to use relevant equipment/technology.</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constructively as part of a team.</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relate well to children and to adults.</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Personal Attributes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3">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 of service provision.</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committed to the continuous development of self and others by keeping up to date and sharing knowledge, encouraging new ideas, seeking new opportunities and challenges, open to ideas and developing new skills.</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2">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Acts with pace and urgency being energetic, enthusiastic and decisive. </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5">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the ability to learn from experiences and challenges.</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Commitment</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B">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E">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1">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Other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7">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A">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headerReference r:id="rId14" w:type="default"/>
      <w:footerReference r:id="rId15"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Janitor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5"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Janitor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8"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-634999</wp:posOffset>
          </wp:positionH>
          <wp:positionV relativeFrom="paragraph">
            <wp:posOffset>190500</wp:posOffset>
          </wp:positionV>
          <wp:extent cx="7232015" cy="490855"/>
          <wp:effectExtent b="0" l="0" r="0" t="0"/>
          <wp:wrapNone/>
          <wp:docPr id="70" name="image9.png"/>
          <a:graphic>
            <a:graphicData uri="http://schemas.openxmlformats.org/drawingml/2006/picture">
              <pic:pic>
                <pic:nvPicPr>
                  <pic:cNvPr id="0" name="image9.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5731200" cy="2235200"/>
          <wp:effectExtent b="0" l="0" r="0" t="0"/>
          <wp:docPr id="7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2.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hxp66DAK/pSqPsTGP9oyDR1Tw==">CgMxLjAyCGguZ2pkZ3hzMghoLmdqZGd4czIIaC5namRneHMyCGguZ2pkZ3hzOAByITFMWFAxNXIyVS1aTEVST2ZYamI1cDBIb2ZRSzM5T2JUbQ==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2023-03-08T09:55:00Z</dcterms:created>
  <dc:creator>Michael Mursell</dc:creator>
</cp:coreProperties>
</file>