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C8B5" w14:textId="77777777" w:rsidR="0063762B" w:rsidRPr="00891AF3" w:rsidRDefault="0063762B" w:rsidP="00891AF3">
      <w:pPr>
        <w:spacing w:after="0"/>
        <w:jc w:val="both"/>
        <w:outlineLvl w:val="0"/>
        <w:rPr>
          <w:rFonts w:ascii="Metropolis" w:eastAsia="Times New Roman" w:hAnsi="Metropolis" w:cstheme="minorHAnsi"/>
          <w:b/>
          <w:bCs/>
          <w:kern w:val="36"/>
          <w:lang w:eastAsia="en-GB"/>
        </w:rPr>
      </w:pPr>
    </w:p>
    <w:p w14:paraId="46B0B0AC" w14:textId="77777777" w:rsidR="00891AF3" w:rsidRDefault="00891AF3" w:rsidP="00891AF3">
      <w:pPr>
        <w:spacing w:after="0"/>
        <w:rPr>
          <w:rFonts w:ascii="Metropolis" w:eastAsia="Times New Roman" w:hAnsi="Metropolis" w:cstheme="minorHAnsi"/>
          <w:color w:val="002060"/>
          <w:lang w:eastAsia="en-GB"/>
        </w:rPr>
      </w:pPr>
    </w:p>
    <w:p w14:paraId="43239424" w14:textId="77777777" w:rsidR="00901FBC" w:rsidRPr="00891AF3" w:rsidRDefault="00901FBC" w:rsidP="00891AF3">
      <w:pPr>
        <w:spacing w:after="0"/>
        <w:rPr>
          <w:rFonts w:ascii="Metropolis" w:eastAsia="Times New Roman" w:hAnsi="Metropolis" w:cstheme="minorHAnsi"/>
          <w:color w:val="002060"/>
          <w:lang w:eastAsia="en-GB"/>
        </w:rPr>
      </w:pPr>
    </w:p>
    <w:p w14:paraId="1F51D913" w14:textId="77777777" w:rsidR="00891AF3" w:rsidRPr="00891AF3" w:rsidRDefault="00891AF3" w:rsidP="00891AF3">
      <w:pPr>
        <w:spacing w:after="0"/>
        <w:rPr>
          <w:rFonts w:ascii="Metropolis" w:eastAsia="Times New Roman" w:hAnsi="Metropolis" w:cstheme="minorHAnsi"/>
          <w:color w:val="002060"/>
          <w:lang w:eastAsia="en-GB"/>
        </w:rPr>
      </w:pPr>
    </w:p>
    <w:tbl>
      <w:tblPr>
        <w:tblStyle w:val="TableGrid"/>
        <w:tblW w:w="0" w:type="auto"/>
        <w:shd w:val="clear" w:color="auto" w:fill="ACB9CA" w:themeFill="text2" w:themeFillTint="66"/>
        <w:tblLook w:val="04A0" w:firstRow="1" w:lastRow="0" w:firstColumn="1" w:lastColumn="0" w:noHBand="0" w:noVBand="1"/>
      </w:tblPr>
      <w:tblGrid>
        <w:gridCol w:w="9016"/>
      </w:tblGrid>
      <w:tr w:rsidR="00891AF3" w:rsidRPr="00891AF3" w14:paraId="05562384" w14:textId="77777777" w:rsidTr="00891AF3">
        <w:trPr>
          <w:trHeight w:val="624"/>
        </w:trPr>
        <w:tc>
          <w:tcPr>
            <w:tcW w:w="9016" w:type="dxa"/>
            <w:shd w:val="clear" w:color="auto" w:fill="002060"/>
            <w:vAlign w:val="center"/>
          </w:tcPr>
          <w:p w14:paraId="47543A87" w14:textId="486AE82D" w:rsidR="00891AF3" w:rsidRPr="00891AF3" w:rsidRDefault="00891AF3" w:rsidP="00891AF3">
            <w:pPr>
              <w:spacing w:after="0"/>
              <w:rPr>
                <w:rFonts w:ascii="Metropolis" w:hAnsi="Metropolis" w:cstheme="minorHAnsi"/>
                <w:b/>
                <w:color w:val="FFFFFF" w:themeColor="background1"/>
              </w:rPr>
            </w:pPr>
            <w:r w:rsidRPr="00891AF3">
              <w:rPr>
                <w:rFonts w:ascii="Metropolis" w:hAnsi="Metropolis" w:cstheme="minorHAnsi"/>
                <w:b/>
                <w:color w:val="FFFFFF" w:themeColor="background1"/>
                <w:sz w:val="28"/>
                <w:szCs w:val="32"/>
              </w:rPr>
              <w:t>JOB DESCRIPTION: HR BUSINESS PARTNER</w:t>
            </w:r>
          </w:p>
        </w:tc>
      </w:tr>
      <w:tr w:rsidR="00891AF3" w:rsidRPr="00891AF3" w14:paraId="2B6B513E" w14:textId="77777777" w:rsidTr="00891AF3">
        <w:trPr>
          <w:trHeight w:val="425"/>
        </w:trPr>
        <w:tc>
          <w:tcPr>
            <w:tcW w:w="9016" w:type="dxa"/>
            <w:shd w:val="clear" w:color="auto" w:fill="D9E2F3" w:themeFill="accent1" w:themeFillTint="33"/>
            <w:vAlign w:val="center"/>
          </w:tcPr>
          <w:p w14:paraId="549D2398" w14:textId="77777777" w:rsidR="00891AF3" w:rsidRPr="00891AF3" w:rsidRDefault="00891AF3" w:rsidP="00891AF3">
            <w:pPr>
              <w:spacing w:after="0"/>
              <w:jc w:val="both"/>
              <w:rPr>
                <w:rFonts w:ascii="Metropolis" w:hAnsi="Metropolis" w:cstheme="minorHAnsi"/>
                <w:b/>
                <w:bCs/>
              </w:rPr>
            </w:pPr>
            <w:proofErr w:type="gramStart"/>
            <w:r w:rsidRPr="00891AF3">
              <w:rPr>
                <w:rFonts w:ascii="Metropolis" w:hAnsi="Metropolis" w:cstheme="minorHAnsi"/>
                <w:b/>
                <w:bCs/>
                <w:color w:val="002060"/>
              </w:rPr>
              <w:t>OVERALL</w:t>
            </w:r>
            <w:proofErr w:type="gramEnd"/>
            <w:r w:rsidRPr="00891AF3">
              <w:rPr>
                <w:rFonts w:ascii="Metropolis" w:hAnsi="Metropolis" w:cstheme="minorHAnsi"/>
                <w:b/>
                <w:bCs/>
                <w:color w:val="002060"/>
              </w:rPr>
              <w:t xml:space="preserve"> PURPOSE OF THE POST</w:t>
            </w:r>
          </w:p>
        </w:tc>
      </w:tr>
      <w:tr w:rsidR="00891AF3" w:rsidRPr="00891AF3" w14:paraId="028BED8D" w14:textId="77777777" w:rsidTr="00891AF3">
        <w:trPr>
          <w:trHeight w:val="624"/>
        </w:trPr>
        <w:tc>
          <w:tcPr>
            <w:tcW w:w="9016" w:type="dxa"/>
            <w:tcMar>
              <w:top w:w="170" w:type="dxa"/>
              <w:bottom w:w="170" w:type="dxa"/>
            </w:tcMar>
            <w:vAlign w:val="center"/>
          </w:tcPr>
          <w:p w14:paraId="2B8D19DD" w14:textId="77777777" w:rsidR="00891AF3" w:rsidRDefault="00891AF3" w:rsidP="00891AF3">
            <w:pPr>
              <w:spacing w:after="0"/>
              <w:jc w:val="both"/>
              <w:rPr>
                <w:rFonts w:ascii="Metropolis" w:hAnsi="Metropolis" w:cstheme="minorHAnsi"/>
              </w:rPr>
            </w:pPr>
            <w:r w:rsidRPr="00891AF3">
              <w:rPr>
                <w:rFonts w:ascii="Metropolis" w:hAnsi="Metropolis" w:cstheme="minorHAnsi"/>
              </w:rPr>
              <w:t>The HR Business Partner (HRBP) is an associate-level professional role within the Trust’s People function, reporting to the Deputy Chief People Officer (DCPO). The post-holder will work in partnership with Principals and senior leaders across a defined portfolio of academies, providing high-quality, evidence-based HR advice and support that enables effective people management and supports educational delivery.</w:t>
            </w:r>
          </w:p>
          <w:p w14:paraId="1CF41EE1" w14:textId="77777777" w:rsidR="00891AF3" w:rsidRPr="00891AF3" w:rsidRDefault="00891AF3" w:rsidP="00891AF3">
            <w:pPr>
              <w:spacing w:after="0"/>
              <w:jc w:val="both"/>
              <w:rPr>
                <w:rFonts w:ascii="Metropolis" w:hAnsi="Metropolis" w:cstheme="minorHAnsi"/>
              </w:rPr>
            </w:pPr>
          </w:p>
          <w:p w14:paraId="5F25F5AC" w14:textId="77777777" w:rsidR="00891AF3" w:rsidRDefault="00891AF3" w:rsidP="00891AF3">
            <w:pPr>
              <w:spacing w:after="0"/>
              <w:jc w:val="both"/>
              <w:rPr>
                <w:rFonts w:ascii="Metropolis" w:hAnsi="Metropolis" w:cstheme="minorHAnsi"/>
              </w:rPr>
            </w:pPr>
            <w:r w:rsidRPr="00891AF3">
              <w:rPr>
                <w:rFonts w:ascii="Metropolis" w:hAnsi="Metropolis" w:cstheme="minorHAnsi"/>
              </w:rPr>
              <w:t>Operating within a unionised environment, the HRBP will be responsible for the effective implementation of the Trust’s People Strategy at academy level, ensuring consistent, legally compliant and values-led people practice. The role requires sound knowledge of employment law, the ability to manage complex employee relations matters, and the confidence to influence leaders while working within established frameworks and policies.</w:t>
            </w:r>
          </w:p>
          <w:p w14:paraId="39B3597A" w14:textId="77777777" w:rsidR="00891AF3" w:rsidRPr="00891AF3" w:rsidRDefault="00891AF3" w:rsidP="00891AF3">
            <w:pPr>
              <w:spacing w:after="0"/>
              <w:jc w:val="both"/>
              <w:rPr>
                <w:rFonts w:ascii="Metropolis" w:hAnsi="Metropolis" w:cstheme="minorHAnsi"/>
              </w:rPr>
            </w:pPr>
          </w:p>
          <w:p w14:paraId="4E4E9EC6" w14:textId="77777777" w:rsidR="00891AF3" w:rsidRPr="00891AF3" w:rsidRDefault="00891AF3" w:rsidP="00891AF3">
            <w:pPr>
              <w:spacing w:after="0"/>
              <w:jc w:val="both"/>
              <w:rPr>
                <w:rFonts w:ascii="Metropolis" w:hAnsi="Metropolis" w:cstheme="minorHAnsi"/>
              </w:rPr>
            </w:pPr>
            <w:r w:rsidRPr="00891AF3">
              <w:rPr>
                <w:rFonts w:ascii="Metropolis" w:hAnsi="Metropolis" w:cstheme="minorHAnsi"/>
              </w:rPr>
              <w:t>The HRBP will contribute insight, data and professional judgement to support Trust-wide people planning and continuous improvement, while remaining focused on operational excellence and effective delivery.</w:t>
            </w:r>
          </w:p>
          <w:p w14:paraId="51429646" w14:textId="33DC754F" w:rsidR="00891AF3" w:rsidRPr="00891AF3" w:rsidRDefault="00891AF3" w:rsidP="00891AF3">
            <w:pPr>
              <w:spacing w:after="0"/>
              <w:jc w:val="both"/>
              <w:rPr>
                <w:rFonts w:ascii="Metropolis" w:hAnsi="Metropolis" w:cstheme="minorHAnsi"/>
              </w:rPr>
            </w:pPr>
          </w:p>
        </w:tc>
      </w:tr>
      <w:tr w:rsidR="00891AF3" w:rsidRPr="00891AF3" w14:paraId="1AABF5A1" w14:textId="77777777" w:rsidTr="00891AF3">
        <w:trPr>
          <w:trHeight w:val="425"/>
        </w:trPr>
        <w:tc>
          <w:tcPr>
            <w:tcW w:w="9016" w:type="dxa"/>
            <w:shd w:val="clear" w:color="auto" w:fill="D9E2F3" w:themeFill="accent1" w:themeFillTint="33"/>
            <w:vAlign w:val="center"/>
          </w:tcPr>
          <w:p w14:paraId="4D24DFD6" w14:textId="77777777" w:rsidR="00891AF3" w:rsidRPr="00891AF3" w:rsidRDefault="00891AF3" w:rsidP="00891AF3">
            <w:pPr>
              <w:spacing w:after="0"/>
              <w:jc w:val="both"/>
              <w:rPr>
                <w:rFonts w:ascii="Metropolis" w:hAnsi="Metropolis" w:cstheme="minorHAnsi"/>
                <w:b/>
                <w:bCs/>
              </w:rPr>
            </w:pPr>
            <w:r w:rsidRPr="00891AF3">
              <w:rPr>
                <w:rFonts w:ascii="Metropolis" w:hAnsi="Metropolis" w:cstheme="minorHAnsi"/>
                <w:b/>
                <w:bCs/>
                <w:color w:val="002060"/>
              </w:rPr>
              <w:t>MAIN DUTIES AND RESPONSIBILITIES</w:t>
            </w:r>
          </w:p>
        </w:tc>
      </w:tr>
      <w:tr w:rsidR="00891AF3" w:rsidRPr="00891AF3" w14:paraId="70A634C9" w14:textId="77777777" w:rsidTr="00901FBC">
        <w:trPr>
          <w:trHeight w:val="246"/>
        </w:trPr>
        <w:tc>
          <w:tcPr>
            <w:tcW w:w="9016" w:type="dxa"/>
            <w:tcMar>
              <w:top w:w="170" w:type="dxa"/>
              <w:bottom w:w="170" w:type="dxa"/>
            </w:tcMar>
            <w:vAlign w:val="center"/>
          </w:tcPr>
          <w:p w14:paraId="1B6E2C0C" w14:textId="025C8D4D" w:rsidR="00891AF3" w:rsidRPr="00891AF3" w:rsidRDefault="00891AF3" w:rsidP="00891AF3">
            <w:pPr>
              <w:spacing w:after="0"/>
              <w:jc w:val="both"/>
              <w:rPr>
                <w:rFonts w:ascii="Metropolis" w:hAnsi="Metropolis" w:cstheme="minorHAnsi"/>
                <w:b/>
                <w:bCs/>
              </w:rPr>
            </w:pPr>
            <w:r w:rsidRPr="00891AF3">
              <w:rPr>
                <w:rFonts w:ascii="Metropolis" w:hAnsi="Metropolis" w:cstheme="minorHAnsi"/>
                <w:b/>
                <w:bCs/>
              </w:rPr>
              <w:t>1. HR Business Partnering &amp; Advisory Support</w:t>
            </w:r>
          </w:p>
          <w:p w14:paraId="6C9C9B14"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Act as a trusted HR advisor to Principals and senior leaders, providing practical, proportionate and legally sound advice across the employee lifecycle.</w:t>
            </w:r>
          </w:p>
          <w:p w14:paraId="4EF63C7C"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Support leaders to apply Trust people policies consistently and effectively, escalating issues to the DCPO as appropriate.</w:t>
            </w:r>
          </w:p>
          <w:p w14:paraId="577B4261" w14:textId="77777777" w:rsid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Contribute to the implementation of Trust-wide people initiatives, ensuring they are embedded successfully at academy level.</w:t>
            </w:r>
          </w:p>
          <w:p w14:paraId="0E4E71BE" w14:textId="1A37ED50" w:rsidR="00F41C6E" w:rsidRPr="00F41C6E" w:rsidRDefault="00F41C6E" w:rsidP="00F41C6E">
            <w:pPr>
              <w:numPr>
                <w:ilvl w:val="0"/>
                <w:numId w:val="6"/>
              </w:numPr>
              <w:spacing w:after="0"/>
              <w:rPr>
                <w:rFonts w:ascii="Metropolis" w:hAnsi="Metropolis"/>
              </w:rPr>
            </w:pPr>
            <w:r w:rsidRPr="00F41C6E">
              <w:rPr>
                <w:rFonts w:ascii="Metropolis" w:hAnsi="Metropolis"/>
              </w:rPr>
              <w:t>Provide first-line HR advice</w:t>
            </w:r>
            <w:r w:rsidR="00FE1F21">
              <w:rPr>
                <w:rFonts w:ascii="Metropolis" w:hAnsi="Metropolis"/>
              </w:rPr>
              <w:t xml:space="preserve"> when requied</w:t>
            </w:r>
            <w:r w:rsidRPr="00F41C6E">
              <w:rPr>
                <w:rFonts w:ascii="Metropolis" w:hAnsi="Metropolis"/>
              </w:rPr>
              <w:t xml:space="preserve"> to academy leaders and managers on routine people matters, in line with Trust policies and procedures.</w:t>
            </w:r>
          </w:p>
          <w:p w14:paraId="7E9DAF57" w14:textId="77777777" w:rsidR="00891AF3" w:rsidRDefault="00891AF3" w:rsidP="00891AF3">
            <w:pPr>
              <w:spacing w:after="0"/>
              <w:jc w:val="both"/>
              <w:rPr>
                <w:rFonts w:ascii="Metropolis" w:hAnsi="Metropolis" w:cstheme="minorHAnsi"/>
                <w:b/>
                <w:bCs/>
              </w:rPr>
            </w:pPr>
          </w:p>
          <w:p w14:paraId="2EAE5B35" w14:textId="553F75F9" w:rsidR="00891AF3" w:rsidRPr="00891AF3" w:rsidRDefault="00891AF3" w:rsidP="00891AF3">
            <w:pPr>
              <w:spacing w:after="0"/>
              <w:jc w:val="both"/>
              <w:rPr>
                <w:rFonts w:ascii="Metropolis" w:hAnsi="Metropolis" w:cstheme="minorHAnsi"/>
                <w:b/>
                <w:bCs/>
              </w:rPr>
            </w:pPr>
            <w:r w:rsidRPr="00891AF3">
              <w:rPr>
                <w:rFonts w:ascii="Metropolis" w:hAnsi="Metropolis" w:cstheme="minorHAnsi"/>
                <w:b/>
                <w:bCs/>
              </w:rPr>
              <w:t>2. Employee Relations &amp; Trade Union Working</w:t>
            </w:r>
          </w:p>
          <w:p w14:paraId="71EDBD2B" w14:textId="16A80873"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 xml:space="preserve">Lead on complex employee relations cases </w:t>
            </w:r>
            <w:r w:rsidR="008F677E">
              <w:rPr>
                <w:rFonts w:ascii="Metropolis" w:hAnsi="Metropolis" w:cstheme="minorHAnsi"/>
              </w:rPr>
              <w:t>across our Trust</w:t>
            </w:r>
            <w:r w:rsidRPr="00891AF3">
              <w:rPr>
                <w:rFonts w:ascii="Metropolis" w:hAnsi="Metropolis" w:cstheme="minorHAnsi"/>
              </w:rPr>
              <w:t>, including disciplinary, grievance, capability, absence and dignity at work matters.</w:t>
            </w:r>
          </w:p>
          <w:p w14:paraId="487F0E4F"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Ensure all casework is managed in line with employment law, Trust policy and best practice, identifying and mitigating risk.</w:t>
            </w:r>
          </w:p>
          <w:p w14:paraId="4D54D7EC"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Work constructively with recognised trade unions at academy level, supporting effective consultation and maintaining positive working relationships.</w:t>
            </w:r>
          </w:p>
          <w:p w14:paraId="4AEC4FCD" w14:textId="462EE10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lastRenderedPageBreak/>
              <w:t xml:space="preserve">Provide </w:t>
            </w:r>
            <w:r w:rsidR="00CD63AB">
              <w:rPr>
                <w:rFonts w:ascii="Metropolis" w:hAnsi="Metropolis" w:cstheme="minorHAnsi"/>
              </w:rPr>
              <w:t xml:space="preserve">training, </w:t>
            </w:r>
            <w:r w:rsidRPr="00891AF3">
              <w:rPr>
                <w:rFonts w:ascii="Metropolis" w:hAnsi="Metropolis" w:cstheme="minorHAnsi"/>
              </w:rPr>
              <w:t>guidance and coaching to leaders to build confidence in managing employee relations matters.</w:t>
            </w:r>
          </w:p>
          <w:p w14:paraId="06CF2EB4" w14:textId="77777777" w:rsidR="00891AF3" w:rsidRDefault="00891AF3" w:rsidP="00891AF3">
            <w:pPr>
              <w:spacing w:after="0"/>
              <w:jc w:val="both"/>
              <w:rPr>
                <w:rFonts w:ascii="Metropolis" w:hAnsi="Metropolis" w:cstheme="minorHAnsi"/>
                <w:b/>
                <w:bCs/>
              </w:rPr>
            </w:pPr>
          </w:p>
          <w:p w14:paraId="66BE47DB" w14:textId="4D3BB658" w:rsidR="00891AF3" w:rsidRPr="00891AF3" w:rsidRDefault="00891AF3" w:rsidP="00891AF3">
            <w:pPr>
              <w:spacing w:after="0"/>
              <w:jc w:val="both"/>
              <w:rPr>
                <w:rFonts w:ascii="Metropolis" w:hAnsi="Metropolis" w:cstheme="minorHAnsi"/>
                <w:b/>
                <w:bCs/>
              </w:rPr>
            </w:pPr>
            <w:r w:rsidRPr="00891AF3">
              <w:rPr>
                <w:rFonts w:ascii="Metropolis" w:hAnsi="Metropolis" w:cstheme="minorHAnsi"/>
                <w:b/>
                <w:bCs/>
              </w:rPr>
              <w:t>3. Organisational Change &amp; Workforce Support</w:t>
            </w:r>
          </w:p>
          <w:p w14:paraId="2CD79B57" w14:textId="77777777" w:rsidR="00891AF3" w:rsidRPr="00891AF3" w:rsidRDefault="00891AF3" w:rsidP="00F41C6E">
            <w:pPr>
              <w:numPr>
                <w:ilvl w:val="0"/>
                <w:numId w:val="6"/>
              </w:numPr>
              <w:spacing w:after="0"/>
              <w:jc w:val="both"/>
              <w:rPr>
                <w:rFonts w:ascii="Metropolis" w:hAnsi="Metropolis" w:cstheme="minorHAnsi"/>
              </w:rPr>
            </w:pPr>
            <w:r w:rsidRPr="00891AF3">
              <w:rPr>
                <w:rFonts w:ascii="Metropolis" w:hAnsi="Metropolis" w:cstheme="minorHAnsi"/>
              </w:rPr>
              <w:t>Support the DCPO in the delivery of organisational change activity at academy level, including restructures, redundancy processes and TUPE transfers.</w:t>
            </w:r>
          </w:p>
          <w:p w14:paraId="666F18F8" w14:textId="77777777" w:rsidR="00891AF3" w:rsidRPr="00891AF3" w:rsidRDefault="00891AF3" w:rsidP="00F41C6E">
            <w:pPr>
              <w:numPr>
                <w:ilvl w:val="0"/>
                <w:numId w:val="6"/>
              </w:numPr>
              <w:spacing w:after="0"/>
              <w:jc w:val="both"/>
              <w:rPr>
                <w:rFonts w:ascii="Metropolis" w:hAnsi="Metropolis" w:cstheme="minorHAnsi"/>
              </w:rPr>
            </w:pPr>
            <w:r w:rsidRPr="00891AF3">
              <w:rPr>
                <w:rFonts w:ascii="Metropolis" w:hAnsi="Metropolis" w:cstheme="minorHAnsi"/>
              </w:rPr>
              <w:t>Advise leaders on role changes, workforce structures and staffing implications within agreed frameworks.</w:t>
            </w:r>
          </w:p>
          <w:p w14:paraId="4F1DBD0E" w14:textId="77777777" w:rsidR="00891AF3" w:rsidRPr="00891AF3" w:rsidRDefault="00891AF3" w:rsidP="00F41C6E">
            <w:pPr>
              <w:numPr>
                <w:ilvl w:val="0"/>
                <w:numId w:val="6"/>
              </w:numPr>
              <w:spacing w:after="0"/>
              <w:jc w:val="both"/>
              <w:rPr>
                <w:rFonts w:ascii="Metropolis" w:hAnsi="Metropolis" w:cstheme="minorHAnsi"/>
              </w:rPr>
            </w:pPr>
            <w:r w:rsidRPr="00891AF3">
              <w:rPr>
                <w:rFonts w:ascii="Metropolis" w:hAnsi="Metropolis" w:cstheme="minorHAnsi"/>
              </w:rPr>
              <w:t>Contribute local insight to workforce planning and succession discussions.</w:t>
            </w:r>
          </w:p>
          <w:p w14:paraId="5884ABA4" w14:textId="77777777" w:rsidR="00891AF3" w:rsidRDefault="00891AF3" w:rsidP="00891AF3">
            <w:pPr>
              <w:spacing w:after="0"/>
              <w:jc w:val="both"/>
              <w:rPr>
                <w:rFonts w:ascii="Metropolis" w:hAnsi="Metropolis" w:cstheme="minorHAnsi"/>
                <w:b/>
                <w:bCs/>
              </w:rPr>
            </w:pPr>
          </w:p>
          <w:p w14:paraId="42EAAF8E" w14:textId="5D5672F3" w:rsidR="00891AF3" w:rsidRPr="00891AF3" w:rsidRDefault="00891AF3" w:rsidP="00891AF3">
            <w:pPr>
              <w:spacing w:after="0"/>
              <w:jc w:val="both"/>
              <w:rPr>
                <w:rFonts w:ascii="Metropolis" w:hAnsi="Metropolis" w:cstheme="minorHAnsi"/>
                <w:b/>
                <w:bCs/>
              </w:rPr>
            </w:pPr>
            <w:r w:rsidRPr="00891AF3">
              <w:rPr>
                <w:rFonts w:ascii="Metropolis" w:hAnsi="Metropolis" w:cstheme="minorHAnsi"/>
                <w:b/>
                <w:bCs/>
              </w:rPr>
              <w:t>4. Wellbeing, Culture &amp; Engagement</w:t>
            </w:r>
          </w:p>
          <w:p w14:paraId="405DC2E3" w14:textId="77777777" w:rsidR="00891AF3" w:rsidRPr="00891AF3" w:rsidRDefault="00891AF3" w:rsidP="00F41C6E">
            <w:pPr>
              <w:numPr>
                <w:ilvl w:val="0"/>
                <w:numId w:val="6"/>
              </w:numPr>
              <w:spacing w:after="0"/>
              <w:jc w:val="both"/>
              <w:rPr>
                <w:rFonts w:ascii="Metropolis" w:hAnsi="Metropolis" w:cstheme="minorHAnsi"/>
              </w:rPr>
            </w:pPr>
            <w:r w:rsidRPr="00891AF3">
              <w:rPr>
                <w:rFonts w:ascii="Metropolis" w:hAnsi="Metropolis" w:cstheme="minorHAnsi"/>
              </w:rPr>
              <w:t>Support the implementation of Trust wellbeing initiatives, promoting good attendance, resilience and healthy working practices.</w:t>
            </w:r>
          </w:p>
          <w:p w14:paraId="680A524F" w14:textId="77777777" w:rsidR="00891AF3" w:rsidRPr="00891AF3" w:rsidRDefault="00891AF3" w:rsidP="00F41C6E">
            <w:pPr>
              <w:numPr>
                <w:ilvl w:val="0"/>
                <w:numId w:val="6"/>
              </w:numPr>
              <w:spacing w:after="0"/>
              <w:jc w:val="both"/>
              <w:rPr>
                <w:rFonts w:ascii="Metropolis" w:hAnsi="Metropolis" w:cstheme="minorHAnsi"/>
              </w:rPr>
            </w:pPr>
            <w:r w:rsidRPr="00891AF3">
              <w:rPr>
                <w:rFonts w:ascii="Metropolis" w:hAnsi="Metropolis" w:cstheme="minorHAnsi"/>
              </w:rPr>
              <w:t>Encourage positive employee relations, engagement and values-led behaviours across academies.</w:t>
            </w:r>
          </w:p>
          <w:p w14:paraId="6F04845A" w14:textId="77777777" w:rsidR="00891AF3" w:rsidRPr="00891AF3" w:rsidRDefault="00891AF3" w:rsidP="00F41C6E">
            <w:pPr>
              <w:numPr>
                <w:ilvl w:val="0"/>
                <w:numId w:val="6"/>
              </w:numPr>
              <w:spacing w:after="0"/>
              <w:jc w:val="both"/>
              <w:rPr>
                <w:rFonts w:ascii="Metropolis" w:hAnsi="Metropolis" w:cstheme="minorHAnsi"/>
              </w:rPr>
            </w:pPr>
            <w:r w:rsidRPr="00891AF3">
              <w:rPr>
                <w:rFonts w:ascii="Metropolis" w:hAnsi="Metropolis" w:cstheme="minorHAnsi"/>
              </w:rPr>
              <w:t>Promote employee voice mechanisms and ensure feedback is appropriately captured and shared.</w:t>
            </w:r>
          </w:p>
          <w:p w14:paraId="50EF8B32" w14:textId="77777777" w:rsidR="00891AF3" w:rsidRDefault="00891AF3" w:rsidP="00891AF3">
            <w:pPr>
              <w:spacing w:after="0"/>
              <w:jc w:val="both"/>
              <w:rPr>
                <w:rFonts w:ascii="Metropolis" w:hAnsi="Metropolis" w:cstheme="minorHAnsi"/>
                <w:b/>
                <w:bCs/>
              </w:rPr>
            </w:pPr>
          </w:p>
          <w:p w14:paraId="1B5660DE" w14:textId="2C47936D" w:rsidR="00891AF3" w:rsidRPr="00891AF3" w:rsidRDefault="00891AF3" w:rsidP="00891AF3">
            <w:pPr>
              <w:spacing w:after="0"/>
              <w:jc w:val="both"/>
              <w:rPr>
                <w:rFonts w:ascii="Metropolis" w:hAnsi="Metropolis" w:cstheme="minorHAnsi"/>
                <w:b/>
                <w:bCs/>
              </w:rPr>
            </w:pPr>
            <w:r w:rsidRPr="00891AF3">
              <w:rPr>
                <w:rFonts w:ascii="Metropolis" w:hAnsi="Metropolis" w:cstheme="minorHAnsi"/>
                <w:b/>
                <w:bCs/>
              </w:rPr>
              <w:t>5. Equality, Diversity &amp; Inclusion (EDI)</w:t>
            </w:r>
          </w:p>
          <w:p w14:paraId="5BCED4FA"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Support the consistent application of EDI principles in people management practice, recruitment and employee relations.</w:t>
            </w:r>
          </w:p>
          <w:p w14:paraId="28CD5ABB"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Advise leaders on managing equality-related issues and reasonable adjustments.</w:t>
            </w:r>
          </w:p>
          <w:p w14:paraId="691E7E97"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Contribute to Trust monitoring of EDI outcomes through accurate data and case insight.</w:t>
            </w:r>
          </w:p>
          <w:p w14:paraId="4C888448" w14:textId="77777777" w:rsidR="00891AF3" w:rsidRDefault="00891AF3" w:rsidP="00891AF3">
            <w:pPr>
              <w:spacing w:after="0"/>
              <w:jc w:val="both"/>
              <w:rPr>
                <w:rFonts w:ascii="Metropolis" w:hAnsi="Metropolis" w:cstheme="minorHAnsi"/>
                <w:b/>
                <w:bCs/>
              </w:rPr>
            </w:pPr>
          </w:p>
          <w:p w14:paraId="51EB4BB5" w14:textId="25ABD7F4" w:rsidR="00891AF3" w:rsidRPr="00891AF3" w:rsidRDefault="00891AF3" w:rsidP="00891AF3">
            <w:pPr>
              <w:spacing w:after="0"/>
              <w:jc w:val="both"/>
              <w:rPr>
                <w:rFonts w:ascii="Metropolis" w:hAnsi="Metropolis" w:cstheme="minorHAnsi"/>
                <w:b/>
                <w:bCs/>
              </w:rPr>
            </w:pPr>
            <w:r w:rsidRPr="00891AF3">
              <w:rPr>
                <w:rFonts w:ascii="Metropolis" w:hAnsi="Metropolis" w:cstheme="minorHAnsi"/>
                <w:b/>
                <w:bCs/>
              </w:rPr>
              <w:t>6. Recruitment, Retention &amp; Safer Recruitment</w:t>
            </w:r>
          </w:p>
          <w:p w14:paraId="4AC44B53"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Support and oversee recruitment processes within assigned academies, ensuring compliance with safer recruitment requirements and employment legislation.</w:t>
            </w:r>
          </w:p>
          <w:p w14:paraId="678A908F"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Advise on recruitment approaches that support attraction and retention of high-quality staff.</w:t>
            </w:r>
          </w:p>
          <w:p w14:paraId="49D89CE2"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Ensure Single Central Registers (SCR) and recruitment records are accurate and compliant.</w:t>
            </w:r>
          </w:p>
          <w:p w14:paraId="7041C191" w14:textId="77777777" w:rsidR="00891AF3" w:rsidRDefault="00891AF3" w:rsidP="00891AF3">
            <w:pPr>
              <w:spacing w:after="0"/>
              <w:jc w:val="both"/>
              <w:rPr>
                <w:rFonts w:ascii="Metropolis" w:hAnsi="Metropolis" w:cstheme="minorHAnsi"/>
                <w:b/>
                <w:bCs/>
              </w:rPr>
            </w:pPr>
          </w:p>
          <w:p w14:paraId="16076943" w14:textId="200EBBA7" w:rsidR="00891AF3" w:rsidRPr="00891AF3" w:rsidRDefault="00891AF3" w:rsidP="00891AF3">
            <w:pPr>
              <w:spacing w:after="0"/>
              <w:jc w:val="both"/>
              <w:rPr>
                <w:rFonts w:ascii="Metropolis" w:hAnsi="Metropolis" w:cstheme="minorHAnsi"/>
                <w:b/>
                <w:bCs/>
              </w:rPr>
            </w:pPr>
            <w:r w:rsidRPr="00891AF3">
              <w:rPr>
                <w:rFonts w:ascii="Metropolis" w:hAnsi="Metropolis" w:cstheme="minorHAnsi"/>
                <w:b/>
                <w:bCs/>
              </w:rPr>
              <w:t>7. Data, Systems &amp; Compliance</w:t>
            </w:r>
          </w:p>
          <w:p w14:paraId="355DFD0B"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Ensure accurate and timely maintenance of staff records and HR documentation in line with Trust and statutory requirements.</w:t>
            </w:r>
          </w:p>
          <w:p w14:paraId="71C15055"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Contribute to people data reporting, including absence, turnover and staffing changes.</w:t>
            </w:r>
          </w:p>
          <w:p w14:paraId="2033B5B5"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Support the completion of statutory returns such as the School Workforce Census.</w:t>
            </w:r>
          </w:p>
          <w:p w14:paraId="3EF0342F" w14:textId="77777777" w:rsidR="00891AF3" w:rsidRDefault="00891AF3" w:rsidP="00891AF3">
            <w:pPr>
              <w:spacing w:after="0"/>
              <w:jc w:val="both"/>
              <w:rPr>
                <w:rFonts w:ascii="Metropolis" w:hAnsi="Metropolis" w:cstheme="minorHAnsi"/>
                <w:b/>
                <w:bCs/>
              </w:rPr>
            </w:pPr>
          </w:p>
          <w:p w14:paraId="7ACE98B9" w14:textId="35C76EBE" w:rsidR="00891AF3" w:rsidRPr="00891AF3" w:rsidRDefault="00891AF3" w:rsidP="00891AF3">
            <w:pPr>
              <w:spacing w:after="0"/>
              <w:jc w:val="both"/>
              <w:rPr>
                <w:rFonts w:ascii="Metropolis" w:hAnsi="Metropolis" w:cstheme="minorHAnsi"/>
                <w:b/>
                <w:bCs/>
              </w:rPr>
            </w:pPr>
            <w:r w:rsidRPr="00891AF3">
              <w:rPr>
                <w:rFonts w:ascii="Metropolis" w:hAnsi="Metropolis" w:cstheme="minorHAnsi"/>
                <w:b/>
                <w:bCs/>
              </w:rPr>
              <w:t>8. Professional Practice &amp; Team Contribution</w:t>
            </w:r>
          </w:p>
          <w:p w14:paraId="62C5E558"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Work collaboratively with the DCPO and People team to ensure consistent, high-quality HR service delivery.</w:t>
            </w:r>
          </w:p>
          <w:p w14:paraId="5CFC4FC9" w14:textId="77777777" w:rsidR="00891AF3" w:rsidRPr="00891AF3"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lastRenderedPageBreak/>
              <w:t>Contribute to the review and development of people policies and guidance.</w:t>
            </w:r>
          </w:p>
          <w:p w14:paraId="0ED085B5" w14:textId="336ECF02" w:rsidR="00891AF3" w:rsidRPr="0070679A" w:rsidRDefault="00891AF3" w:rsidP="00F41C6E">
            <w:pPr>
              <w:numPr>
                <w:ilvl w:val="0"/>
                <w:numId w:val="6"/>
              </w:numPr>
              <w:tabs>
                <w:tab w:val="num" w:pos="720"/>
              </w:tabs>
              <w:spacing w:after="0"/>
              <w:jc w:val="both"/>
              <w:rPr>
                <w:rFonts w:ascii="Metropolis" w:hAnsi="Metropolis" w:cstheme="minorHAnsi"/>
              </w:rPr>
            </w:pPr>
            <w:r w:rsidRPr="00891AF3">
              <w:rPr>
                <w:rFonts w:ascii="Metropolis" w:hAnsi="Metropolis" w:cstheme="minorHAnsi"/>
              </w:rPr>
              <w:t>Maintain professional HR knowledge and practice in line with CIPD Level 5 standards and continuous professional development.</w:t>
            </w:r>
          </w:p>
        </w:tc>
      </w:tr>
      <w:tr w:rsidR="00891AF3" w:rsidRPr="00891AF3" w14:paraId="52D4F81C" w14:textId="77777777" w:rsidTr="00891AF3">
        <w:trPr>
          <w:trHeight w:val="425"/>
        </w:trPr>
        <w:tc>
          <w:tcPr>
            <w:tcW w:w="9016" w:type="dxa"/>
            <w:shd w:val="clear" w:color="auto" w:fill="D9E2F3" w:themeFill="accent1" w:themeFillTint="33"/>
            <w:vAlign w:val="center"/>
          </w:tcPr>
          <w:p w14:paraId="33440087" w14:textId="77777777" w:rsidR="00891AF3" w:rsidRPr="00891AF3" w:rsidRDefault="00891AF3" w:rsidP="00891AF3">
            <w:pPr>
              <w:spacing w:after="0"/>
              <w:jc w:val="both"/>
              <w:rPr>
                <w:rFonts w:ascii="Metropolis" w:hAnsi="Metropolis" w:cstheme="minorHAnsi"/>
                <w:b/>
                <w:bCs/>
                <w:color w:val="002060"/>
              </w:rPr>
            </w:pPr>
            <w:r w:rsidRPr="00891AF3">
              <w:rPr>
                <w:rFonts w:ascii="Metropolis" w:hAnsi="Metropolis" w:cstheme="minorHAnsi"/>
                <w:b/>
                <w:bCs/>
                <w:color w:val="002060"/>
              </w:rPr>
              <w:lastRenderedPageBreak/>
              <w:t>GENERAL DUTIES AND RESPONSIBILITIES</w:t>
            </w:r>
          </w:p>
        </w:tc>
      </w:tr>
      <w:tr w:rsidR="00891AF3" w:rsidRPr="00891AF3" w14:paraId="502DA403" w14:textId="77777777" w:rsidTr="00891AF3">
        <w:trPr>
          <w:trHeight w:val="425"/>
        </w:trPr>
        <w:tc>
          <w:tcPr>
            <w:tcW w:w="9016" w:type="dxa"/>
            <w:vAlign w:val="center"/>
          </w:tcPr>
          <w:p w14:paraId="4F3F256F" w14:textId="77777777" w:rsidR="00891AF3" w:rsidRPr="00891AF3" w:rsidRDefault="00891AF3" w:rsidP="00891AF3">
            <w:pPr>
              <w:spacing w:after="0"/>
              <w:jc w:val="both"/>
              <w:rPr>
                <w:rFonts w:ascii="Metropolis" w:hAnsi="Metropolis" w:cs="Calibri"/>
                <w:lang w:eastAsia="en-GB"/>
              </w:rPr>
            </w:pPr>
            <w:r w:rsidRPr="00891AF3">
              <w:rPr>
                <w:rFonts w:ascii="Metropolis" w:hAnsi="Metropolis" w:cs="Calibri"/>
                <w:lang w:eastAsia="en-GB"/>
              </w:rPr>
              <w:t>All ACET staff are expected to:</w:t>
            </w:r>
          </w:p>
          <w:p w14:paraId="448BF64E" w14:textId="77777777" w:rsidR="00891AF3" w:rsidRPr="00891AF3" w:rsidRDefault="00891AF3" w:rsidP="00891AF3">
            <w:pPr>
              <w:pStyle w:val="ListParagraph"/>
              <w:numPr>
                <w:ilvl w:val="0"/>
                <w:numId w:val="5"/>
              </w:numPr>
              <w:spacing w:after="0" w:line="240" w:lineRule="auto"/>
              <w:jc w:val="both"/>
              <w:rPr>
                <w:rFonts w:ascii="Metropolis" w:hAnsi="Metropolis" w:cstheme="minorHAnsi"/>
                <w:bCs/>
                <w:sz w:val="24"/>
                <w:szCs w:val="24"/>
              </w:rPr>
            </w:pPr>
            <w:r w:rsidRPr="00891AF3">
              <w:rPr>
                <w:rFonts w:ascii="Metropolis" w:hAnsi="Metropolis" w:cstheme="minorHAnsi"/>
                <w:bCs/>
                <w:sz w:val="24"/>
                <w:szCs w:val="24"/>
              </w:rPr>
              <w:t>Promote and support the aims, ethos and vision of the academy/</w:t>
            </w:r>
            <w:proofErr w:type="gramStart"/>
            <w:r w:rsidRPr="00891AF3">
              <w:rPr>
                <w:rFonts w:ascii="Metropolis" w:hAnsi="Metropolis" w:cstheme="minorHAnsi"/>
                <w:bCs/>
                <w:sz w:val="24"/>
                <w:szCs w:val="24"/>
              </w:rPr>
              <w:t>trust;</w:t>
            </w:r>
            <w:proofErr w:type="gramEnd"/>
          </w:p>
          <w:p w14:paraId="4874E627" w14:textId="77777777" w:rsidR="00891AF3" w:rsidRPr="00891AF3" w:rsidRDefault="00891AF3" w:rsidP="00891AF3">
            <w:pPr>
              <w:pStyle w:val="ListParagraph"/>
              <w:numPr>
                <w:ilvl w:val="0"/>
                <w:numId w:val="5"/>
              </w:numPr>
              <w:spacing w:after="0" w:line="240" w:lineRule="auto"/>
              <w:jc w:val="both"/>
              <w:rPr>
                <w:rFonts w:ascii="Metropolis" w:hAnsi="Metropolis" w:cstheme="minorHAnsi"/>
                <w:bCs/>
                <w:sz w:val="24"/>
                <w:szCs w:val="24"/>
              </w:rPr>
            </w:pPr>
            <w:r w:rsidRPr="00891AF3">
              <w:rPr>
                <w:rFonts w:ascii="Metropolis" w:hAnsi="Metropolis" w:cstheme="minorHAnsi"/>
                <w:bCs/>
                <w:sz w:val="24"/>
                <w:szCs w:val="24"/>
              </w:rPr>
              <w:t xml:space="preserve">Conduct themselves in line with the ACET values, treating others with dignity and </w:t>
            </w:r>
            <w:proofErr w:type="gramStart"/>
            <w:r w:rsidRPr="00891AF3">
              <w:rPr>
                <w:rFonts w:ascii="Metropolis" w:hAnsi="Metropolis" w:cstheme="minorHAnsi"/>
                <w:bCs/>
                <w:sz w:val="24"/>
                <w:szCs w:val="24"/>
              </w:rPr>
              <w:t>respect;</w:t>
            </w:r>
            <w:proofErr w:type="gramEnd"/>
          </w:p>
          <w:p w14:paraId="47AE3B83" w14:textId="77777777" w:rsidR="00891AF3" w:rsidRPr="00891AF3" w:rsidRDefault="00891AF3" w:rsidP="00891AF3">
            <w:pPr>
              <w:pStyle w:val="ListParagraph"/>
              <w:numPr>
                <w:ilvl w:val="0"/>
                <w:numId w:val="5"/>
              </w:numPr>
              <w:spacing w:after="0" w:line="240" w:lineRule="auto"/>
              <w:jc w:val="both"/>
              <w:rPr>
                <w:rFonts w:ascii="Metropolis" w:hAnsi="Metropolis" w:cstheme="minorHAnsi"/>
                <w:bCs/>
                <w:sz w:val="24"/>
                <w:szCs w:val="24"/>
              </w:rPr>
            </w:pPr>
            <w:r w:rsidRPr="00891AF3">
              <w:rPr>
                <w:rFonts w:ascii="Metropolis" w:hAnsi="Metropolis" w:cstheme="minorHAnsi"/>
                <w:bCs/>
                <w:sz w:val="24"/>
                <w:szCs w:val="24"/>
              </w:rPr>
              <w:t xml:space="preserve">Develop and maintain effective working relationships with staff, students and others, as appropriate for the </w:t>
            </w:r>
            <w:proofErr w:type="gramStart"/>
            <w:r w:rsidRPr="00891AF3">
              <w:rPr>
                <w:rFonts w:ascii="Metropolis" w:hAnsi="Metropolis" w:cstheme="minorHAnsi"/>
                <w:bCs/>
                <w:sz w:val="24"/>
                <w:szCs w:val="24"/>
              </w:rPr>
              <w:t>role;</w:t>
            </w:r>
            <w:proofErr w:type="gramEnd"/>
          </w:p>
          <w:p w14:paraId="022DE629" w14:textId="77777777" w:rsidR="00891AF3" w:rsidRPr="00891AF3" w:rsidRDefault="00891AF3" w:rsidP="00891AF3">
            <w:pPr>
              <w:numPr>
                <w:ilvl w:val="0"/>
                <w:numId w:val="5"/>
              </w:numPr>
              <w:spacing w:after="0"/>
              <w:jc w:val="both"/>
              <w:rPr>
                <w:rFonts w:ascii="Metropolis" w:hAnsi="Metropolis" w:cstheme="minorHAnsi"/>
              </w:rPr>
            </w:pPr>
            <w:r w:rsidRPr="00891AF3">
              <w:rPr>
                <w:rFonts w:ascii="Metropolis" w:hAnsi="Metropolis" w:cstheme="minorHAnsi"/>
              </w:rPr>
              <w:t xml:space="preserve">Remember that their prime responsibility is to the children, families and communities that the Trust serves, and ensure all decisions and actions taken during their work is with this in </w:t>
            </w:r>
            <w:proofErr w:type="gramStart"/>
            <w:r w:rsidRPr="00891AF3">
              <w:rPr>
                <w:rFonts w:ascii="Metropolis" w:hAnsi="Metropolis" w:cstheme="minorHAnsi"/>
              </w:rPr>
              <w:t>mind;</w:t>
            </w:r>
            <w:proofErr w:type="gramEnd"/>
          </w:p>
          <w:p w14:paraId="35E37701" w14:textId="77777777" w:rsidR="00891AF3" w:rsidRPr="00891AF3" w:rsidRDefault="00891AF3" w:rsidP="00891AF3">
            <w:pPr>
              <w:pStyle w:val="ListParagraph"/>
              <w:numPr>
                <w:ilvl w:val="0"/>
                <w:numId w:val="5"/>
              </w:numPr>
              <w:spacing w:after="0" w:line="240" w:lineRule="auto"/>
              <w:jc w:val="both"/>
              <w:rPr>
                <w:rFonts w:ascii="Metropolis" w:hAnsi="Metropolis" w:cstheme="minorHAnsi"/>
                <w:bCs/>
                <w:sz w:val="24"/>
                <w:szCs w:val="24"/>
              </w:rPr>
            </w:pPr>
            <w:r w:rsidRPr="00891AF3">
              <w:rPr>
                <w:rFonts w:ascii="Metropolis" w:hAnsi="Metropolis" w:cstheme="minorHAnsi"/>
                <w:bCs/>
                <w:sz w:val="24"/>
                <w:szCs w:val="24"/>
              </w:rPr>
              <w:t xml:space="preserve">Attend appropriate CPD and actively seek to broaden knowledge and </w:t>
            </w:r>
            <w:proofErr w:type="gramStart"/>
            <w:r w:rsidRPr="00891AF3">
              <w:rPr>
                <w:rFonts w:ascii="Metropolis" w:hAnsi="Metropolis" w:cstheme="minorHAnsi"/>
                <w:bCs/>
                <w:sz w:val="24"/>
                <w:szCs w:val="24"/>
              </w:rPr>
              <w:t>skills;</w:t>
            </w:r>
            <w:proofErr w:type="gramEnd"/>
          </w:p>
          <w:p w14:paraId="72593F79" w14:textId="77777777" w:rsidR="00891AF3" w:rsidRPr="00891AF3" w:rsidRDefault="00891AF3" w:rsidP="00891AF3">
            <w:pPr>
              <w:pStyle w:val="ListParagraph"/>
              <w:numPr>
                <w:ilvl w:val="0"/>
                <w:numId w:val="5"/>
              </w:numPr>
              <w:spacing w:after="0" w:line="240" w:lineRule="auto"/>
              <w:jc w:val="both"/>
              <w:rPr>
                <w:rFonts w:ascii="Metropolis" w:hAnsi="Metropolis" w:cstheme="minorHAnsi"/>
                <w:bCs/>
                <w:sz w:val="24"/>
                <w:szCs w:val="24"/>
              </w:rPr>
            </w:pPr>
            <w:r w:rsidRPr="00891AF3">
              <w:rPr>
                <w:rFonts w:ascii="Metropolis" w:hAnsi="Metropolis" w:cstheme="minorHAnsi"/>
                <w:bCs/>
                <w:sz w:val="24"/>
                <w:szCs w:val="24"/>
              </w:rPr>
              <w:t xml:space="preserve">Appropriately maintain the confidentiality of the working </w:t>
            </w:r>
            <w:proofErr w:type="gramStart"/>
            <w:r w:rsidRPr="00891AF3">
              <w:rPr>
                <w:rFonts w:ascii="Metropolis" w:hAnsi="Metropolis" w:cstheme="minorHAnsi"/>
                <w:bCs/>
                <w:sz w:val="24"/>
                <w:szCs w:val="24"/>
              </w:rPr>
              <w:t>environment;</w:t>
            </w:r>
            <w:proofErr w:type="gramEnd"/>
          </w:p>
          <w:p w14:paraId="64E4FB31" w14:textId="77777777" w:rsidR="00891AF3" w:rsidRPr="00891AF3" w:rsidRDefault="00891AF3" w:rsidP="00891AF3">
            <w:pPr>
              <w:pStyle w:val="ListParagraph"/>
              <w:numPr>
                <w:ilvl w:val="0"/>
                <w:numId w:val="5"/>
              </w:numPr>
              <w:spacing w:after="0" w:line="240" w:lineRule="auto"/>
              <w:jc w:val="both"/>
              <w:rPr>
                <w:rFonts w:ascii="Metropolis" w:hAnsi="Metropolis" w:cstheme="minorHAnsi"/>
                <w:bCs/>
                <w:sz w:val="24"/>
                <w:szCs w:val="24"/>
              </w:rPr>
            </w:pPr>
            <w:r w:rsidRPr="00891AF3">
              <w:rPr>
                <w:rFonts w:ascii="Metropolis" w:hAnsi="Metropolis" w:cstheme="minorHAnsi"/>
                <w:bCs/>
                <w:sz w:val="24"/>
                <w:szCs w:val="24"/>
              </w:rPr>
              <w:t xml:space="preserve">Comply with all ACET policies and </w:t>
            </w:r>
            <w:proofErr w:type="gramStart"/>
            <w:r w:rsidRPr="00891AF3">
              <w:rPr>
                <w:rFonts w:ascii="Metropolis" w:hAnsi="Metropolis" w:cstheme="minorHAnsi"/>
                <w:bCs/>
                <w:sz w:val="24"/>
                <w:szCs w:val="24"/>
              </w:rPr>
              <w:t>procedures;</w:t>
            </w:r>
            <w:proofErr w:type="gramEnd"/>
          </w:p>
          <w:p w14:paraId="3F8578EB" w14:textId="77777777" w:rsidR="00891AF3" w:rsidRPr="00891AF3" w:rsidRDefault="00891AF3" w:rsidP="00891AF3">
            <w:pPr>
              <w:pStyle w:val="ListParagraph"/>
              <w:numPr>
                <w:ilvl w:val="0"/>
                <w:numId w:val="5"/>
              </w:numPr>
              <w:spacing w:after="0" w:line="240" w:lineRule="auto"/>
              <w:jc w:val="both"/>
              <w:rPr>
                <w:rFonts w:ascii="Metropolis" w:hAnsi="Metropolis" w:cstheme="minorHAnsi"/>
                <w:bCs/>
                <w:sz w:val="24"/>
                <w:szCs w:val="24"/>
              </w:rPr>
            </w:pPr>
            <w:r w:rsidRPr="00891AF3">
              <w:rPr>
                <w:rFonts w:ascii="Metropolis" w:hAnsi="Metropolis" w:cstheme="minorHAnsi"/>
                <w:bCs/>
                <w:sz w:val="24"/>
                <w:szCs w:val="24"/>
              </w:rPr>
              <w:t xml:space="preserve">Comply with all statutory guidance as relevant for their role, including the Health and Safety at Work Act </w:t>
            </w:r>
            <w:proofErr w:type="gramStart"/>
            <w:r w:rsidRPr="00891AF3">
              <w:rPr>
                <w:rFonts w:ascii="Metropolis" w:hAnsi="Metropolis" w:cstheme="minorHAnsi"/>
                <w:bCs/>
                <w:sz w:val="24"/>
                <w:szCs w:val="24"/>
              </w:rPr>
              <w:t>1974;</w:t>
            </w:r>
            <w:proofErr w:type="gramEnd"/>
          </w:p>
          <w:p w14:paraId="7E7C9B58" w14:textId="77777777" w:rsidR="00891AF3" w:rsidRPr="00891AF3" w:rsidRDefault="00891AF3" w:rsidP="00891AF3">
            <w:pPr>
              <w:pStyle w:val="ListParagraph"/>
              <w:numPr>
                <w:ilvl w:val="0"/>
                <w:numId w:val="5"/>
              </w:numPr>
              <w:spacing w:after="0" w:line="240" w:lineRule="auto"/>
              <w:jc w:val="both"/>
              <w:rPr>
                <w:rFonts w:ascii="Metropolis" w:hAnsi="Metropolis" w:cstheme="minorHAnsi"/>
                <w:bCs/>
                <w:sz w:val="24"/>
                <w:szCs w:val="24"/>
              </w:rPr>
            </w:pPr>
            <w:r w:rsidRPr="00891AF3">
              <w:rPr>
                <w:rFonts w:ascii="Metropolis" w:hAnsi="Metropolis" w:cstheme="minorHAnsi"/>
                <w:bCs/>
                <w:sz w:val="24"/>
                <w:szCs w:val="24"/>
              </w:rPr>
              <w:t xml:space="preserve">Work in a flexible manner, undertaking any reasonable duties commensurate with the salary and grade of the </w:t>
            </w:r>
            <w:proofErr w:type="gramStart"/>
            <w:r w:rsidRPr="00891AF3">
              <w:rPr>
                <w:rFonts w:ascii="Metropolis" w:hAnsi="Metropolis" w:cstheme="minorHAnsi"/>
                <w:bCs/>
                <w:sz w:val="24"/>
                <w:szCs w:val="24"/>
              </w:rPr>
              <w:t>post;</w:t>
            </w:r>
            <w:proofErr w:type="gramEnd"/>
          </w:p>
          <w:p w14:paraId="0D608638" w14:textId="77777777" w:rsidR="00891AF3" w:rsidRPr="00891AF3" w:rsidRDefault="00891AF3" w:rsidP="00891AF3">
            <w:pPr>
              <w:pStyle w:val="ListParagraph"/>
              <w:numPr>
                <w:ilvl w:val="0"/>
                <w:numId w:val="5"/>
              </w:numPr>
              <w:spacing w:after="0" w:line="240" w:lineRule="auto"/>
              <w:jc w:val="both"/>
              <w:rPr>
                <w:rFonts w:ascii="Metropolis" w:hAnsi="Metropolis" w:cstheme="minorHAnsi"/>
                <w:bCs/>
                <w:sz w:val="24"/>
                <w:szCs w:val="24"/>
              </w:rPr>
            </w:pPr>
            <w:r w:rsidRPr="00891AF3">
              <w:rPr>
                <w:rFonts w:ascii="Metropolis" w:hAnsi="Metropolis" w:cstheme="minorHAnsi"/>
                <w:bCs/>
                <w:sz w:val="24"/>
                <w:szCs w:val="24"/>
              </w:rPr>
              <w:t xml:space="preserve">Hold a full and valid driving licence (if applicable for the post), and be willing to travel as required for the </w:t>
            </w:r>
            <w:proofErr w:type="gramStart"/>
            <w:r w:rsidRPr="00891AF3">
              <w:rPr>
                <w:rFonts w:ascii="Metropolis" w:hAnsi="Metropolis" w:cstheme="minorHAnsi"/>
                <w:bCs/>
                <w:sz w:val="24"/>
                <w:szCs w:val="24"/>
              </w:rPr>
              <w:t>role;</w:t>
            </w:r>
            <w:proofErr w:type="gramEnd"/>
          </w:p>
          <w:p w14:paraId="6B442D3B" w14:textId="77777777" w:rsidR="00891AF3" w:rsidRPr="0070679A" w:rsidRDefault="00891AF3" w:rsidP="00891AF3">
            <w:pPr>
              <w:pStyle w:val="ListParagraph"/>
              <w:numPr>
                <w:ilvl w:val="0"/>
                <w:numId w:val="5"/>
              </w:numPr>
              <w:spacing w:after="0" w:line="240" w:lineRule="auto"/>
              <w:jc w:val="both"/>
              <w:rPr>
                <w:rFonts w:ascii="Metropolis" w:hAnsi="Metropolis" w:cstheme="minorHAnsi"/>
                <w:bCs/>
                <w:sz w:val="24"/>
                <w:szCs w:val="24"/>
              </w:rPr>
            </w:pPr>
            <w:r w:rsidRPr="00891AF3">
              <w:rPr>
                <w:rFonts w:ascii="Metropolis" w:hAnsi="Metropolis" w:cstheme="minorHAnsi"/>
                <w:bCs/>
                <w:sz w:val="24"/>
                <w:szCs w:val="24"/>
              </w:rPr>
              <w:t>Work in other AC</w:t>
            </w:r>
            <w:r w:rsidRPr="00891AF3">
              <w:rPr>
                <w:rFonts w:ascii="Metropolis" w:hAnsi="Metropolis" w:cstheme="minorHAnsi"/>
                <w:bCs/>
                <w:sz w:val="24"/>
                <w:szCs w:val="24"/>
                <w:lang w:val="en-US"/>
              </w:rPr>
              <w:t>ET academies, as required (with travel payment if appropriate).</w:t>
            </w:r>
          </w:p>
          <w:p w14:paraId="4B09C093" w14:textId="77777777" w:rsidR="0070679A" w:rsidRPr="0070679A" w:rsidRDefault="0070679A" w:rsidP="0070679A">
            <w:pPr>
              <w:spacing w:after="0"/>
              <w:jc w:val="both"/>
              <w:rPr>
                <w:rFonts w:ascii="Metropolis" w:hAnsi="Metropolis" w:cstheme="minorHAnsi"/>
                <w:bCs/>
              </w:rPr>
            </w:pPr>
          </w:p>
        </w:tc>
      </w:tr>
      <w:tr w:rsidR="00891AF3" w:rsidRPr="00891AF3" w14:paraId="6D223A81" w14:textId="77777777" w:rsidTr="00891AF3">
        <w:trPr>
          <w:trHeight w:val="425"/>
        </w:trPr>
        <w:tc>
          <w:tcPr>
            <w:tcW w:w="9016" w:type="dxa"/>
            <w:shd w:val="clear" w:color="auto" w:fill="D9E2F3" w:themeFill="accent1" w:themeFillTint="33"/>
            <w:vAlign w:val="center"/>
          </w:tcPr>
          <w:p w14:paraId="01F9F46A" w14:textId="77777777" w:rsidR="00891AF3" w:rsidRPr="00891AF3" w:rsidRDefault="00891AF3" w:rsidP="00891AF3">
            <w:pPr>
              <w:spacing w:after="0"/>
              <w:jc w:val="both"/>
              <w:rPr>
                <w:rFonts w:ascii="Metropolis" w:hAnsi="Metropolis" w:cstheme="minorHAnsi"/>
                <w:b/>
                <w:bCs/>
              </w:rPr>
            </w:pPr>
          </w:p>
        </w:tc>
      </w:tr>
      <w:tr w:rsidR="00891AF3" w:rsidRPr="00891AF3" w14:paraId="7D741BF8" w14:textId="77777777" w:rsidTr="00891AF3">
        <w:trPr>
          <w:trHeight w:val="624"/>
        </w:trPr>
        <w:tc>
          <w:tcPr>
            <w:tcW w:w="9016" w:type="dxa"/>
            <w:tcMar>
              <w:top w:w="170" w:type="dxa"/>
              <w:bottom w:w="170" w:type="dxa"/>
            </w:tcMar>
            <w:vAlign w:val="center"/>
          </w:tcPr>
          <w:p w14:paraId="552B6951" w14:textId="77777777" w:rsidR="00891AF3" w:rsidRPr="00891AF3" w:rsidRDefault="00891AF3" w:rsidP="00891AF3">
            <w:pPr>
              <w:spacing w:after="0"/>
              <w:jc w:val="both"/>
              <w:rPr>
                <w:rFonts w:ascii="Metropolis" w:hAnsi="Metropolis" w:cstheme="minorHAnsi"/>
                <w:bCs/>
              </w:rPr>
            </w:pPr>
            <w:r w:rsidRPr="00891AF3">
              <w:rPr>
                <w:rFonts w:ascii="Metropolis" w:hAnsi="Metropolis" w:cstheme="minorHAnsi"/>
                <w:bCs/>
                <w:i/>
              </w:rPr>
              <w:t xml:space="preserve">The purpose of this job description is to provide an overview of the duties and responsibilities involved in this </w:t>
            </w:r>
            <w:proofErr w:type="gramStart"/>
            <w:r w:rsidRPr="00891AF3">
              <w:rPr>
                <w:rFonts w:ascii="Metropolis" w:hAnsi="Metropolis" w:cstheme="minorHAnsi"/>
                <w:bCs/>
                <w:i/>
              </w:rPr>
              <w:t>role,</w:t>
            </w:r>
            <w:proofErr w:type="gramEnd"/>
            <w:r w:rsidRPr="00891AF3">
              <w:rPr>
                <w:rFonts w:ascii="Metropolis" w:hAnsi="Metropolis" w:cstheme="minorHAnsi"/>
                <w:bCs/>
                <w:i/>
              </w:rPr>
              <w:t xml:space="preserve"> however, it is not intended to be exhaustive. In consultation with the post holder, this may be reviewed and could be subject to change during the course of employment.</w:t>
            </w:r>
          </w:p>
        </w:tc>
      </w:tr>
    </w:tbl>
    <w:p w14:paraId="7D2A9007" w14:textId="2096D7F3" w:rsidR="00A62A02" w:rsidRPr="00891AF3" w:rsidRDefault="00A62A02" w:rsidP="00891AF3">
      <w:pPr>
        <w:spacing w:after="0"/>
        <w:jc w:val="both"/>
        <w:rPr>
          <w:rFonts w:ascii="Metropolis" w:eastAsia="Times New Roman" w:hAnsi="Metropolis" w:cstheme="minorHAnsi"/>
          <w:color w:val="002060"/>
          <w:lang w:eastAsia="en-GB"/>
        </w:rPr>
      </w:pPr>
    </w:p>
    <w:p w14:paraId="72152F9C" w14:textId="77777777" w:rsidR="00E35623" w:rsidRPr="00891AF3" w:rsidRDefault="00E35623" w:rsidP="00891AF3">
      <w:pPr>
        <w:spacing w:after="0"/>
        <w:jc w:val="center"/>
        <w:rPr>
          <w:rFonts w:ascii="Metropolis" w:hAnsi="Metropolis"/>
          <w:b/>
          <w:bCs/>
        </w:rPr>
      </w:pPr>
    </w:p>
    <w:p w14:paraId="22B5843F" w14:textId="77777777" w:rsidR="00E35623" w:rsidRPr="00891AF3" w:rsidRDefault="00E35623" w:rsidP="00891AF3">
      <w:pPr>
        <w:spacing w:after="0"/>
        <w:jc w:val="center"/>
        <w:rPr>
          <w:rFonts w:ascii="Metropolis" w:hAnsi="Metropolis"/>
          <w:b/>
          <w:bCs/>
        </w:rPr>
      </w:pPr>
    </w:p>
    <w:p w14:paraId="7F759FE7" w14:textId="77777777" w:rsidR="00E35623" w:rsidRPr="00891AF3" w:rsidRDefault="00E35623" w:rsidP="00891AF3">
      <w:pPr>
        <w:spacing w:after="0"/>
        <w:jc w:val="center"/>
        <w:rPr>
          <w:rFonts w:ascii="Metropolis" w:hAnsi="Metropolis"/>
          <w:b/>
          <w:bCs/>
        </w:rPr>
      </w:pPr>
    </w:p>
    <w:sectPr w:rsidR="00E35623" w:rsidRPr="00891AF3" w:rsidSect="00901FBC">
      <w:headerReference w:type="default" r:id="rId10"/>
      <w:footerReference w:type="default" r:id="rId11"/>
      <w:headerReference w:type="first" r:id="rId12"/>
      <w:footerReference w:type="first" r:id="rId13"/>
      <w:pgSz w:w="11906" w:h="16838"/>
      <w:pgMar w:top="1440" w:right="1440" w:bottom="184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D403" w14:textId="77777777" w:rsidR="00916437" w:rsidRDefault="00916437" w:rsidP="00E35623">
      <w:pPr>
        <w:spacing w:after="0"/>
      </w:pPr>
      <w:r>
        <w:separator/>
      </w:r>
    </w:p>
  </w:endnote>
  <w:endnote w:type="continuationSeparator" w:id="0">
    <w:p w14:paraId="32BB13E5" w14:textId="77777777" w:rsidR="00916437" w:rsidRDefault="00916437" w:rsidP="00E356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tropoli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0C0EC29" w14:paraId="3F5D7BD1" w14:textId="77777777" w:rsidTr="60C0EC29">
      <w:trPr>
        <w:trHeight w:val="300"/>
      </w:trPr>
      <w:tc>
        <w:tcPr>
          <w:tcW w:w="3005" w:type="dxa"/>
        </w:tcPr>
        <w:p w14:paraId="2CA21687" w14:textId="0262C424" w:rsidR="60C0EC29" w:rsidRDefault="60C0EC29" w:rsidP="60C0EC29">
          <w:pPr>
            <w:pStyle w:val="Header"/>
            <w:ind w:left="-115"/>
          </w:pPr>
        </w:p>
      </w:tc>
      <w:tc>
        <w:tcPr>
          <w:tcW w:w="3005" w:type="dxa"/>
        </w:tcPr>
        <w:p w14:paraId="5C403B44" w14:textId="64730888" w:rsidR="60C0EC29" w:rsidRDefault="60C0EC29" w:rsidP="60C0EC29">
          <w:pPr>
            <w:pStyle w:val="Header"/>
            <w:jc w:val="center"/>
          </w:pPr>
        </w:p>
      </w:tc>
      <w:tc>
        <w:tcPr>
          <w:tcW w:w="3005" w:type="dxa"/>
        </w:tcPr>
        <w:p w14:paraId="14ED7DD5" w14:textId="57F6EEB4" w:rsidR="60C0EC29" w:rsidRDefault="60C0EC29" w:rsidP="60C0EC29">
          <w:pPr>
            <w:pStyle w:val="Header"/>
            <w:ind w:right="-115"/>
            <w:jc w:val="right"/>
          </w:pPr>
        </w:p>
      </w:tc>
    </w:tr>
  </w:tbl>
  <w:p w14:paraId="79A08A4F" w14:textId="282788B1" w:rsidR="60C0EC29" w:rsidRDefault="60C0EC29" w:rsidP="60C0E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02E8" w14:textId="74FA9D6F" w:rsidR="0063762B" w:rsidRDefault="0063762B">
    <w:pPr>
      <w:pStyle w:val="Footer"/>
    </w:pPr>
    <w:r>
      <w:rPr>
        <w:noProof/>
      </w:rPr>
      <w:drawing>
        <wp:anchor distT="0" distB="0" distL="114300" distR="114300" simplePos="0" relativeHeight="251664384" behindDoc="0" locked="0" layoutInCell="1" allowOverlap="1" wp14:anchorId="4D76AAED" wp14:editId="51E4D7E4">
          <wp:simplePos x="0" y="0"/>
          <wp:positionH relativeFrom="column">
            <wp:posOffset>-914400</wp:posOffset>
          </wp:positionH>
          <wp:positionV relativeFrom="page">
            <wp:posOffset>9380220</wp:posOffset>
          </wp:positionV>
          <wp:extent cx="7618095" cy="1407795"/>
          <wp:effectExtent l="0" t="0" r="1905" b="1905"/>
          <wp:wrapNone/>
          <wp:docPr id="15276717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80401" name="Picture 1705180401"/>
                  <pic:cNvPicPr/>
                </pic:nvPicPr>
                <pic:blipFill>
                  <a:blip r:embed="rId1">
                    <a:extLst>
                      <a:ext uri="{28A0092B-C50C-407E-A947-70E740481C1C}">
                        <a14:useLocalDpi xmlns:a14="http://schemas.microsoft.com/office/drawing/2010/main" val="0"/>
                      </a:ext>
                    </a:extLst>
                  </a:blip>
                  <a:stretch>
                    <a:fillRect/>
                  </a:stretch>
                </pic:blipFill>
                <pic:spPr>
                  <a:xfrm>
                    <a:off x="0" y="0"/>
                    <a:ext cx="7618095" cy="1407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23A2" w14:textId="77777777" w:rsidR="00916437" w:rsidRDefault="00916437" w:rsidP="00E35623">
      <w:pPr>
        <w:spacing w:after="0"/>
      </w:pPr>
      <w:r>
        <w:separator/>
      </w:r>
    </w:p>
  </w:footnote>
  <w:footnote w:type="continuationSeparator" w:id="0">
    <w:p w14:paraId="0AF1626C" w14:textId="77777777" w:rsidR="00916437" w:rsidRDefault="00916437" w:rsidP="00E356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0C0EC29" w14:paraId="6F1FD210" w14:textId="77777777" w:rsidTr="60C0EC29">
      <w:trPr>
        <w:trHeight w:val="300"/>
      </w:trPr>
      <w:tc>
        <w:tcPr>
          <w:tcW w:w="3005" w:type="dxa"/>
        </w:tcPr>
        <w:p w14:paraId="692666AA" w14:textId="0A3A8418" w:rsidR="60C0EC29" w:rsidRDefault="60C0EC29" w:rsidP="60C0EC29">
          <w:pPr>
            <w:pStyle w:val="Header"/>
            <w:ind w:left="-115"/>
          </w:pPr>
        </w:p>
      </w:tc>
      <w:tc>
        <w:tcPr>
          <w:tcW w:w="3005" w:type="dxa"/>
        </w:tcPr>
        <w:p w14:paraId="3E019F8B" w14:textId="133190B9" w:rsidR="60C0EC29" w:rsidRDefault="60C0EC29" w:rsidP="60C0EC29">
          <w:pPr>
            <w:pStyle w:val="Header"/>
            <w:jc w:val="center"/>
          </w:pPr>
        </w:p>
      </w:tc>
      <w:tc>
        <w:tcPr>
          <w:tcW w:w="3005" w:type="dxa"/>
        </w:tcPr>
        <w:p w14:paraId="050E0DD5" w14:textId="4AC79A67" w:rsidR="60C0EC29" w:rsidRDefault="60C0EC29" w:rsidP="60C0EC29">
          <w:pPr>
            <w:pStyle w:val="Header"/>
            <w:ind w:right="-115"/>
            <w:jc w:val="right"/>
          </w:pPr>
        </w:p>
      </w:tc>
    </w:tr>
  </w:tbl>
  <w:p w14:paraId="19D1C290" w14:textId="0789A016" w:rsidR="60C0EC29" w:rsidRDefault="60C0EC29" w:rsidP="60C0E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0D9C" w14:textId="7C7CD258" w:rsidR="0063762B" w:rsidRDefault="0063762B">
    <w:pPr>
      <w:pStyle w:val="Header"/>
    </w:pPr>
    <w:r>
      <w:rPr>
        <w:noProof/>
      </w:rPr>
      <w:drawing>
        <wp:anchor distT="0" distB="0" distL="114300" distR="114300" simplePos="0" relativeHeight="251662336" behindDoc="0" locked="0" layoutInCell="1" allowOverlap="1" wp14:anchorId="5B9E869C" wp14:editId="192F2B8C">
          <wp:simplePos x="0" y="0"/>
          <wp:positionH relativeFrom="column">
            <wp:posOffset>-914400</wp:posOffset>
          </wp:positionH>
          <wp:positionV relativeFrom="paragraph">
            <wp:posOffset>-448310</wp:posOffset>
          </wp:positionV>
          <wp:extent cx="7559675" cy="2359660"/>
          <wp:effectExtent l="0" t="0" r="3175" b="2540"/>
          <wp:wrapNone/>
          <wp:docPr id="899019000" name="Picture 8990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3596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FB6"/>
    <w:multiLevelType w:val="multilevel"/>
    <w:tmpl w:val="5A38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060E3"/>
    <w:multiLevelType w:val="multilevel"/>
    <w:tmpl w:val="6920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2626"/>
    <w:multiLevelType w:val="multilevel"/>
    <w:tmpl w:val="786C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66271"/>
    <w:multiLevelType w:val="multilevel"/>
    <w:tmpl w:val="A3FC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A7441"/>
    <w:multiLevelType w:val="multilevel"/>
    <w:tmpl w:val="5A12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33805"/>
    <w:multiLevelType w:val="multilevel"/>
    <w:tmpl w:val="896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34A34"/>
    <w:multiLevelType w:val="hybridMultilevel"/>
    <w:tmpl w:val="DA46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B35B9"/>
    <w:multiLevelType w:val="hybridMultilevel"/>
    <w:tmpl w:val="6A8C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373F9"/>
    <w:multiLevelType w:val="multilevel"/>
    <w:tmpl w:val="BBFA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9736B"/>
    <w:multiLevelType w:val="multilevel"/>
    <w:tmpl w:val="31F2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E6218"/>
    <w:multiLevelType w:val="multilevel"/>
    <w:tmpl w:val="052C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26AC7"/>
    <w:multiLevelType w:val="multilevel"/>
    <w:tmpl w:val="4EBE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026F9"/>
    <w:multiLevelType w:val="hybridMultilevel"/>
    <w:tmpl w:val="B28E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41C88"/>
    <w:multiLevelType w:val="hybridMultilevel"/>
    <w:tmpl w:val="A306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86B67"/>
    <w:multiLevelType w:val="multilevel"/>
    <w:tmpl w:val="4272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669028">
    <w:abstractNumId w:val="13"/>
  </w:num>
  <w:num w:numId="2" w16cid:durableId="941189453">
    <w:abstractNumId w:val="12"/>
  </w:num>
  <w:num w:numId="3" w16cid:durableId="599528919">
    <w:abstractNumId w:val="8"/>
  </w:num>
  <w:num w:numId="4" w16cid:durableId="2012097716">
    <w:abstractNumId w:val="11"/>
  </w:num>
  <w:num w:numId="5" w16cid:durableId="301811817">
    <w:abstractNumId w:val="6"/>
  </w:num>
  <w:num w:numId="6" w16cid:durableId="668141461">
    <w:abstractNumId w:val="7"/>
  </w:num>
  <w:num w:numId="7" w16cid:durableId="1473790161">
    <w:abstractNumId w:val="4"/>
  </w:num>
  <w:num w:numId="8" w16cid:durableId="713968014">
    <w:abstractNumId w:val="9"/>
  </w:num>
  <w:num w:numId="9" w16cid:durableId="1801990390">
    <w:abstractNumId w:val="0"/>
  </w:num>
  <w:num w:numId="10" w16cid:durableId="1898860798">
    <w:abstractNumId w:val="2"/>
  </w:num>
  <w:num w:numId="11" w16cid:durableId="813184714">
    <w:abstractNumId w:val="10"/>
  </w:num>
  <w:num w:numId="12" w16cid:durableId="1754399743">
    <w:abstractNumId w:val="3"/>
  </w:num>
  <w:num w:numId="13" w16cid:durableId="1676180698">
    <w:abstractNumId w:val="14"/>
  </w:num>
  <w:num w:numId="14" w16cid:durableId="1144196446">
    <w:abstractNumId w:val="1"/>
  </w:num>
  <w:num w:numId="15" w16cid:durableId="919218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23"/>
    <w:rsid w:val="00124583"/>
    <w:rsid w:val="001E59CE"/>
    <w:rsid w:val="002844D3"/>
    <w:rsid w:val="002944F6"/>
    <w:rsid w:val="002B4858"/>
    <w:rsid w:val="0031490F"/>
    <w:rsid w:val="00416A68"/>
    <w:rsid w:val="00417523"/>
    <w:rsid w:val="005321BC"/>
    <w:rsid w:val="0063762B"/>
    <w:rsid w:val="0070679A"/>
    <w:rsid w:val="0077176B"/>
    <w:rsid w:val="007E7CF7"/>
    <w:rsid w:val="0080147C"/>
    <w:rsid w:val="00814132"/>
    <w:rsid w:val="00844972"/>
    <w:rsid w:val="00891AF3"/>
    <w:rsid w:val="00892AE3"/>
    <w:rsid w:val="008F677E"/>
    <w:rsid w:val="00901FBC"/>
    <w:rsid w:val="00916437"/>
    <w:rsid w:val="0099316C"/>
    <w:rsid w:val="009B6B57"/>
    <w:rsid w:val="009C710E"/>
    <w:rsid w:val="00A215FB"/>
    <w:rsid w:val="00A62A02"/>
    <w:rsid w:val="00B55EAF"/>
    <w:rsid w:val="00BF295D"/>
    <w:rsid w:val="00CD63AB"/>
    <w:rsid w:val="00D65163"/>
    <w:rsid w:val="00E35623"/>
    <w:rsid w:val="00EA7D8D"/>
    <w:rsid w:val="00F41C6E"/>
    <w:rsid w:val="00FE1F21"/>
    <w:rsid w:val="60C0E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F7845"/>
  <w15:chartTrackingRefBased/>
  <w15:docId w15:val="{F85DCB08-D9F2-43B0-97E2-782A9E99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623"/>
    <w:pPr>
      <w:spacing w:after="80" w:line="240"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844972"/>
    <w:pPr>
      <w:keepNext/>
      <w:keepLines/>
      <w:spacing w:after="0" w:line="278" w:lineRule="auto"/>
      <w:outlineLvl w:val="0"/>
    </w:pPr>
    <w:rPr>
      <w:rFonts w:ascii="Calibri" w:eastAsiaTheme="majorEastAsia" w:hAnsi="Calibri" w:cstheme="majorBidi"/>
      <w:b/>
      <w:color w:val="002060"/>
      <w:szCs w:val="40"/>
    </w:rPr>
  </w:style>
  <w:style w:type="paragraph" w:styleId="Heading2">
    <w:name w:val="heading 2"/>
    <w:basedOn w:val="Normal"/>
    <w:next w:val="Normal"/>
    <w:link w:val="Heading2Char"/>
    <w:uiPriority w:val="9"/>
    <w:semiHidden/>
    <w:unhideWhenUsed/>
    <w:qFormat/>
    <w:rsid w:val="00891A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91AF3"/>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972"/>
    <w:rPr>
      <w:rFonts w:ascii="Calibri" w:eastAsiaTheme="majorEastAsia" w:hAnsi="Calibri" w:cstheme="majorBidi"/>
      <w:b/>
      <w:color w:val="002060"/>
      <w:szCs w:val="40"/>
    </w:rPr>
  </w:style>
  <w:style w:type="paragraph" w:styleId="Header">
    <w:name w:val="header"/>
    <w:basedOn w:val="Normal"/>
    <w:link w:val="HeaderChar"/>
    <w:uiPriority w:val="99"/>
    <w:unhideWhenUsed/>
    <w:rsid w:val="00E35623"/>
    <w:pPr>
      <w:tabs>
        <w:tab w:val="center" w:pos="4513"/>
        <w:tab w:val="right" w:pos="9026"/>
      </w:tabs>
      <w:spacing w:after="0"/>
    </w:pPr>
  </w:style>
  <w:style w:type="character" w:customStyle="1" w:styleId="HeaderChar">
    <w:name w:val="Header Char"/>
    <w:basedOn w:val="DefaultParagraphFont"/>
    <w:link w:val="Header"/>
    <w:uiPriority w:val="99"/>
    <w:rsid w:val="00E35623"/>
  </w:style>
  <w:style w:type="paragraph" w:styleId="Footer">
    <w:name w:val="footer"/>
    <w:basedOn w:val="Normal"/>
    <w:link w:val="FooterChar"/>
    <w:uiPriority w:val="99"/>
    <w:unhideWhenUsed/>
    <w:rsid w:val="00E35623"/>
    <w:pPr>
      <w:tabs>
        <w:tab w:val="center" w:pos="4513"/>
        <w:tab w:val="right" w:pos="9026"/>
      </w:tabs>
      <w:spacing w:after="0"/>
    </w:pPr>
  </w:style>
  <w:style w:type="character" w:customStyle="1" w:styleId="FooterChar">
    <w:name w:val="Footer Char"/>
    <w:basedOn w:val="DefaultParagraphFont"/>
    <w:link w:val="Footer"/>
    <w:uiPriority w:val="99"/>
    <w:rsid w:val="00E35623"/>
  </w:style>
  <w:style w:type="table" w:styleId="TableGrid">
    <w:name w:val="Table Grid"/>
    <w:basedOn w:val="TableNormal"/>
    <w:uiPriority w:val="39"/>
    <w:rsid w:val="00E3562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623"/>
    <w:pPr>
      <w:spacing w:after="160" w:line="259" w:lineRule="auto"/>
      <w:ind w:left="720"/>
      <w:contextualSpacing/>
    </w:pPr>
    <w:rPr>
      <w:kern w:val="0"/>
      <w:sz w:val="22"/>
      <w:szCs w:val="22"/>
      <w14:ligatures w14:val="none"/>
    </w:rPr>
  </w:style>
  <w:style w:type="character" w:customStyle="1" w:styleId="Heading2Char">
    <w:name w:val="Heading 2 Char"/>
    <w:basedOn w:val="DefaultParagraphFont"/>
    <w:link w:val="Heading2"/>
    <w:uiPriority w:val="9"/>
    <w:semiHidden/>
    <w:rsid w:val="00891AF3"/>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semiHidden/>
    <w:rsid w:val="00891AF3"/>
    <w:rPr>
      <w:rFonts w:asciiTheme="majorHAnsi" w:eastAsiaTheme="majorEastAsia" w:hAnsiTheme="majorHAnsi" w:cstheme="majorBidi"/>
      <w:color w:val="1F3763"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d7eb0a47081f2447a1326f3046f0226">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d5d6c8751a5d5a170d393ae628cad0cf"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4B25A2C0-8CB9-442D-BC4F-916A7E246B1D}">
  <ds:schemaRefs>
    <ds:schemaRef ds:uri="http://schemas.microsoft.com/sharepoint/v3/contenttype/forms"/>
  </ds:schemaRefs>
</ds:datastoreItem>
</file>

<file path=customXml/itemProps2.xml><?xml version="1.0" encoding="utf-8"?>
<ds:datastoreItem xmlns:ds="http://schemas.openxmlformats.org/officeDocument/2006/customXml" ds:itemID="{F6514596-963E-41BF-B4F7-1472DE3C4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090BB-1B6A-4771-A85C-14BEE1BDF2A8}">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Catherine Dawson</cp:lastModifiedBy>
  <cp:revision>10</cp:revision>
  <dcterms:created xsi:type="dcterms:W3CDTF">2026-01-12T21:50:00Z</dcterms:created>
  <dcterms:modified xsi:type="dcterms:W3CDTF">2026-01-18T21:19:00Z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0x01010030CEBF54BFC4B144A5A9BF5E6E08F7CF</vt:lpwstr>
  </property>
</Properties>
</file>