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C0" w:rsidRDefault="004365E2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hidden="0" allowOverlap="1">
            <wp:simplePos x="0" y="0"/>
            <wp:positionH relativeFrom="margin">
              <wp:posOffset>4274185</wp:posOffset>
            </wp:positionH>
            <wp:positionV relativeFrom="margin">
              <wp:align>top</wp:align>
            </wp:positionV>
            <wp:extent cx="855345" cy="1028700"/>
            <wp:effectExtent l="0" t="0" r="0" b="0"/>
            <wp:wrapSquare wrapText="bothSides" distT="36576" distB="36576" distL="36576" distR="36576"/>
            <wp:docPr id="1" name="image1.png" descr="the street shield_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street shield_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3140710</wp:posOffset>
            </wp:positionH>
            <wp:positionV relativeFrom="topMargin">
              <wp:align>bottom</wp:align>
            </wp:positionV>
            <wp:extent cx="3042285" cy="54102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21471" t="25945" b="14496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54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5AC0" w:rsidRDefault="00945AC0"/>
    <w:p w:rsidR="00945AC0" w:rsidRDefault="00945AC0"/>
    <w:p w:rsidR="00945AC0" w:rsidRDefault="004365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>JOB DESCRIPTION</w:t>
      </w:r>
    </w:p>
    <w:p w:rsidR="00945AC0" w:rsidRDefault="004365E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Role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70C0"/>
          <w:sz w:val="24"/>
          <w:szCs w:val="24"/>
        </w:rPr>
        <w:t>2</w:t>
      </w:r>
      <w:r>
        <w:rPr>
          <w:rFonts w:ascii="Cambria" w:eastAsia="Cambria" w:hAnsi="Cambria" w:cs="Cambria"/>
          <w:color w:val="0070C0"/>
          <w:sz w:val="24"/>
          <w:szCs w:val="24"/>
          <w:vertAlign w:val="superscript"/>
        </w:rPr>
        <w:t>nd</w:t>
      </w:r>
      <w:r>
        <w:rPr>
          <w:rFonts w:ascii="Cambria" w:eastAsia="Cambria" w:hAnsi="Cambria" w:cs="Cambria"/>
          <w:color w:val="0070C0"/>
          <w:sz w:val="24"/>
          <w:szCs w:val="24"/>
        </w:rPr>
        <w:t xml:space="preserve"> in Department – Design and Technology Faculty (Food Technology, Health &amp; Social Care and Child Development).</w:t>
      </w:r>
    </w:p>
    <w:p w:rsidR="00945AC0" w:rsidRDefault="004365E2">
      <w:pPr>
        <w:rPr>
          <w:rFonts w:ascii="Cambria" w:eastAsia="Cambria" w:hAnsi="Cambria" w:cs="Cambria"/>
          <w:color w:val="0070C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Grade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70C0"/>
          <w:sz w:val="24"/>
          <w:szCs w:val="24"/>
        </w:rPr>
        <w:t>TLR 2b £5,0</w:t>
      </w:r>
      <w:r w:rsidR="00DA279D">
        <w:rPr>
          <w:rFonts w:ascii="Cambria" w:eastAsia="Cambria" w:hAnsi="Cambria" w:cs="Cambria"/>
          <w:color w:val="0070C0"/>
          <w:sz w:val="24"/>
          <w:szCs w:val="24"/>
        </w:rPr>
        <w:t>874</w:t>
      </w:r>
      <w:bookmarkStart w:id="0" w:name="_GoBack"/>
      <w:bookmarkEnd w:id="0"/>
      <w:r>
        <w:rPr>
          <w:rFonts w:ascii="Cambria" w:eastAsia="Cambria" w:hAnsi="Cambria" w:cs="Cambria"/>
          <w:color w:val="0070C0"/>
          <w:sz w:val="24"/>
          <w:szCs w:val="24"/>
        </w:rPr>
        <w:t xml:space="preserve"> pa</w:t>
      </w:r>
    </w:p>
    <w:p w:rsidR="00945AC0" w:rsidRDefault="004365E2">
      <w:pPr>
        <w:spacing w:after="0" w:line="240" w:lineRule="auto"/>
        <w:rPr>
          <w:rFonts w:ascii="ArialMT" w:eastAsia="ArialMT" w:hAnsi="ArialMT" w:cs="ArialMT"/>
          <w:sz w:val="20"/>
          <w:szCs w:val="20"/>
        </w:rPr>
      </w:pPr>
      <w:r>
        <w:rPr>
          <w:rFonts w:ascii="Cambria" w:eastAsia="Cambria" w:hAnsi="Cambria" w:cs="Cambria"/>
          <w:b/>
          <w:sz w:val="24"/>
          <w:szCs w:val="24"/>
        </w:rPr>
        <w:t>Terms/Hours: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color w:val="0070C0"/>
          <w:sz w:val="24"/>
          <w:szCs w:val="24"/>
        </w:rPr>
        <w:t xml:space="preserve">The duties outlined in this job description are in addition to those covered by the latest School Teachers’ Pay and Conditions document. They may be modified by the </w:t>
      </w:r>
      <w:proofErr w:type="spellStart"/>
      <w:r>
        <w:rPr>
          <w:rFonts w:ascii="Cambria" w:eastAsia="Cambria" w:hAnsi="Cambria" w:cs="Cambria"/>
          <w:color w:val="0070C0"/>
          <w:sz w:val="24"/>
          <w:szCs w:val="24"/>
        </w:rPr>
        <w:t>Headteacher</w:t>
      </w:r>
      <w:proofErr w:type="spellEnd"/>
      <w:r>
        <w:rPr>
          <w:rFonts w:ascii="Cambria" w:eastAsia="Cambria" w:hAnsi="Cambria" w:cs="Cambria"/>
          <w:color w:val="0070C0"/>
          <w:sz w:val="24"/>
          <w:szCs w:val="24"/>
        </w:rPr>
        <w:t xml:space="preserve"> with your agreement, to reflect or anticipate changes in the job commensurate with the salary and job title.</w:t>
      </w:r>
    </w:p>
    <w:p w:rsidR="00945AC0" w:rsidRDefault="00945AC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45AC0" w:rsidRDefault="004365E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Reporting to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color w:val="0070C0"/>
          <w:sz w:val="24"/>
          <w:szCs w:val="24"/>
        </w:rPr>
        <w:t>Head of the Design and Technology Faculty</w:t>
      </w:r>
    </w:p>
    <w:p w:rsidR="00945AC0" w:rsidRDefault="004365E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____________________________________________________________________________________________________ </w:t>
      </w:r>
    </w:p>
    <w:p w:rsidR="00945AC0" w:rsidRDefault="004365E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Main purpose and object of the role:</w:t>
      </w:r>
    </w:p>
    <w:p w:rsidR="00945AC0" w:rsidRDefault="004365E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0070C0"/>
        </w:rPr>
        <w:t xml:space="preserve">To take responsibility for maximising learning opportunities for all students with regard to </w:t>
      </w:r>
      <w:r>
        <w:rPr>
          <w:rFonts w:ascii="Cambria" w:eastAsia="Cambria" w:hAnsi="Cambria" w:cs="Cambria"/>
          <w:b/>
          <w:color w:val="0070C0"/>
        </w:rPr>
        <w:t>Food Technology, Child Development &amp; Health &amp; Social Care.</w:t>
      </w:r>
    </w:p>
    <w:p w:rsidR="00945AC0" w:rsidRDefault="004365E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Key Responsibilities: </w:t>
      </w:r>
    </w:p>
    <w:p w:rsidR="00945AC0" w:rsidRDefault="004365E2">
      <w:pPr>
        <w:spacing w:after="0" w:line="240" w:lineRule="auto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 xml:space="preserve">Contributing to the Strategic Direction and Development of the Design &amp; Technology Faculty, </w:t>
      </w:r>
    </w:p>
    <w:p w:rsidR="00945AC0" w:rsidRDefault="00436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Day to day management of the Food Technology, Health &amp; Social Care and Child Development courses.</w:t>
      </w:r>
    </w:p>
    <w:p w:rsidR="00945AC0" w:rsidRDefault="00436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Contributing to the development of policies and practices leading to high quality outcomes for students’ learning within the department </w:t>
      </w:r>
    </w:p>
    <w:p w:rsidR="00945AC0" w:rsidRDefault="00436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Identifying models of good practice and gaining the commitment of staff to their implementation, ensuring consistency within the department </w:t>
      </w:r>
    </w:p>
    <w:p w:rsidR="00945AC0" w:rsidRDefault="00436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Contributing to the monitoring of the effectiveness of Teaching and Learning through regular learning walks and moderation of students work </w:t>
      </w:r>
    </w:p>
    <w:p w:rsidR="00945AC0" w:rsidRDefault="00436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Ensuring within specified areas of responsibility that all practices promote student progression, a positive ethos and the commitment of staff to shared goals </w:t>
      </w:r>
    </w:p>
    <w:p w:rsidR="00945AC0" w:rsidRDefault="00436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Contributing to long term planning to ensure that we have a curriculum that meets the needs of all students and is focused around our curriculum intent.</w:t>
      </w:r>
      <w:r>
        <w:rPr>
          <w:rFonts w:ascii="Cambria" w:eastAsia="Cambria" w:hAnsi="Cambria" w:cs="Cambria"/>
          <w:color w:val="0070C0"/>
        </w:rPr>
        <w:br/>
      </w:r>
    </w:p>
    <w:p w:rsidR="00945AC0" w:rsidRDefault="004365E2">
      <w:pPr>
        <w:spacing w:after="0" w:line="240" w:lineRule="auto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Leading on Teaching and Learning:</w:t>
      </w:r>
    </w:p>
    <w:p w:rsidR="00945AC0" w:rsidRDefault="00436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Monitoring and reviewing students’ progress through the use of appropriate data; student interviews; lesson observations; work scrutiny and parental contact </w:t>
      </w:r>
    </w:p>
    <w:p w:rsidR="00945AC0" w:rsidRDefault="00436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Contributing to the development of a culture of collaboration and creativity to ensure excellent teaching and learning within the department </w:t>
      </w:r>
    </w:p>
    <w:p w:rsidR="00945AC0" w:rsidRDefault="00436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To monitor resources being shared and created by the faculty.</w:t>
      </w:r>
    </w:p>
    <w:p w:rsidR="00945AC0" w:rsidRDefault="00436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To work with teaching staff in the department to set fair and rigorous assessments, as well as timetabling them into the calendar</w:t>
      </w:r>
    </w:p>
    <w:p w:rsidR="00945AC0" w:rsidRDefault="00436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lastRenderedPageBreak/>
        <w:t xml:space="preserve">Identifying and implementing strategies to improve Teaching and Learning across all key stages in relation to food </w:t>
      </w:r>
    </w:p>
    <w:p w:rsidR="00945AC0" w:rsidRDefault="00436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Modelling good practice in Teaching and Learning particularly.</w:t>
      </w:r>
      <w:r>
        <w:rPr>
          <w:rFonts w:ascii="Cambria" w:eastAsia="Cambria" w:hAnsi="Cambria" w:cs="Cambria"/>
          <w:color w:val="0070C0"/>
        </w:rPr>
        <w:br/>
      </w:r>
    </w:p>
    <w:p w:rsidR="00945AC0" w:rsidRDefault="004365E2">
      <w:pPr>
        <w:spacing w:after="0" w:line="240" w:lineRule="auto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 xml:space="preserve">Leading and Managing Staff: 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To deputise for the Head of Department in their absence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Setting clear expectations and establishing constructive working relationships amongst all staff including, where appropriate, support staff 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Engaging in Performance Management as required by the school’s policy and use the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process to develop personal and professional effectiveness of self and others 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Contributing to the leadership of the professional development of departmental staff to enable all members to achieve expertise in Teaching and Learning.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proofErr w:type="spellStart"/>
      <w:r>
        <w:rPr>
          <w:rFonts w:ascii="Cambria" w:eastAsia="Cambria" w:hAnsi="Cambria" w:cs="Cambria"/>
          <w:color w:val="0070C0"/>
        </w:rPr>
        <w:t>Liasing</w:t>
      </w:r>
      <w:proofErr w:type="spellEnd"/>
      <w:r>
        <w:rPr>
          <w:rFonts w:ascii="Cambria" w:eastAsia="Cambria" w:hAnsi="Cambria" w:cs="Cambria"/>
          <w:color w:val="0070C0"/>
        </w:rPr>
        <w:t xml:space="preserve"> with the Food technician about the ordering of ingredients for KS3 groups, management of the food storage areas and practical environments.</w:t>
      </w:r>
    </w:p>
    <w:p w:rsidR="00945AC0" w:rsidRDefault="00436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Mentoring of NQT’s or PGCE students.</w:t>
      </w:r>
      <w:r>
        <w:rPr>
          <w:rFonts w:ascii="Cambria" w:eastAsia="Cambria" w:hAnsi="Cambria" w:cs="Cambria"/>
          <w:color w:val="0070C0"/>
        </w:rPr>
        <w:br/>
      </w:r>
    </w:p>
    <w:p w:rsidR="00945AC0" w:rsidRDefault="004365E2">
      <w:pPr>
        <w:spacing w:after="0" w:line="240" w:lineRule="auto"/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The Efficient and Effective Deployment of Staff and Resources through:</w:t>
      </w:r>
    </w:p>
    <w:p w:rsidR="00945AC0" w:rsidRDefault="00436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 xml:space="preserve">Contributing to the efficient and effective deployment, management and organisation of staff and learning resources </w:t>
      </w:r>
    </w:p>
    <w:p w:rsidR="00945AC0" w:rsidRDefault="00436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Contributing to the provision of a safe working and learning environment and to the use of accommodation and resources to create effective and stimulating learning opportunities</w:t>
      </w:r>
    </w:p>
    <w:p w:rsidR="00945AC0" w:rsidRDefault="00436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70C0"/>
        </w:rPr>
      </w:pPr>
      <w:r>
        <w:rPr>
          <w:rFonts w:ascii="Cambria" w:eastAsia="Cambria" w:hAnsi="Cambria" w:cs="Cambria"/>
          <w:color w:val="0070C0"/>
        </w:rPr>
        <w:t>Contributing to value for money and cost – effectiveness in the use of staff and resources.</w:t>
      </w:r>
    </w:p>
    <w:p w:rsidR="00945AC0" w:rsidRDefault="00945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70C0"/>
        </w:rPr>
      </w:pPr>
    </w:p>
    <w:p w:rsidR="00945AC0" w:rsidRDefault="004365E2">
      <w:pPr>
        <w:rPr>
          <w:rFonts w:ascii="Cambria" w:eastAsia="Cambria" w:hAnsi="Cambria" w:cs="Cambria"/>
          <w:color w:val="0070C0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color w:val="0070C0"/>
        </w:rPr>
        <w:t xml:space="preserve">To carry out any additional duties as reasonably requested by the </w:t>
      </w:r>
      <w:proofErr w:type="spellStart"/>
      <w:r>
        <w:rPr>
          <w:rFonts w:ascii="Cambria" w:eastAsia="Cambria" w:hAnsi="Cambria" w:cs="Cambria"/>
          <w:color w:val="0070C0"/>
        </w:rPr>
        <w:t>Headteacher</w:t>
      </w:r>
      <w:proofErr w:type="spellEnd"/>
    </w:p>
    <w:p w:rsidR="00945AC0" w:rsidRDefault="00945AC0">
      <w:pPr>
        <w:rPr>
          <w:rFonts w:ascii="Cambria" w:eastAsia="Cambria" w:hAnsi="Cambria" w:cs="Cambria"/>
        </w:rPr>
      </w:pPr>
    </w:p>
    <w:sectPr w:rsidR="00945AC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82D"/>
    <w:multiLevelType w:val="multilevel"/>
    <w:tmpl w:val="48901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F62334"/>
    <w:multiLevelType w:val="multilevel"/>
    <w:tmpl w:val="8FA4E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564CF"/>
    <w:multiLevelType w:val="multilevel"/>
    <w:tmpl w:val="6C021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18588E"/>
    <w:multiLevelType w:val="multilevel"/>
    <w:tmpl w:val="EFD2F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C0"/>
    <w:rsid w:val="004365E2"/>
    <w:rsid w:val="00945AC0"/>
    <w:rsid w:val="00D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910B"/>
  <w15:docId w15:val="{B7FF7EDE-176E-4A84-BEBE-AB391D56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Streetly Academy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Cameron (Staff)</dc:creator>
  <cp:lastModifiedBy>F Cameron (Staff)</cp:lastModifiedBy>
  <cp:revision>2</cp:revision>
  <cp:lastPrinted>2023-03-24T12:17:00Z</cp:lastPrinted>
  <dcterms:created xsi:type="dcterms:W3CDTF">2026-04-22T15:23:00Z</dcterms:created>
  <dcterms:modified xsi:type="dcterms:W3CDTF">2026-04-22T15:23:00Z</dcterms:modified>
</cp:coreProperties>
</file>