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Affinity Learning Partnership </w:t>
      </w:r>
      <w:r w:rsidDel="00000000" w:rsidR="00000000" w:rsidRPr="00000000">
        <w:rPr>
          <w:rFonts w:ascii="Arial" w:cs="Arial" w:eastAsia="Arial" w:hAnsi="Arial"/>
          <w:b w:val="1"/>
          <w:sz w:val="56"/>
          <w:szCs w:val="56"/>
          <w:rtl w:val="0"/>
        </w:rPr>
        <w:t xml:space="preserve">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Examinations Assistant</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Examinations Manager</w:t>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DFT 3</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carry out administrative duties relating to all aspects of examination entries and results, to assist teaching staff or pupils with any queries relating to examinations, to seek ways of improving quality in all aspects of the work.</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EXAMINATION ADMINISTRATION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numPr>
          <w:ilvl w:val="0"/>
          <w:numId w:val="1"/>
        </w:numPr>
        <w:spacing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coordinate the day to day running of KS5 exams on the Sixth Form Campus, including:</w:t>
      </w:r>
    </w:p>
    <w:p w:rsidR="00000000" w:rsidDel="00000000" w:rsidP="00000000" w:rsidRDefault="00000000" w:rsidRPr="00000000" w14:paraId="00000025">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manage all correspondence, received and required from the examination boards.</w:t>
      </w:r>
    </w:p>
    <w:p w:rsidR="00000000" w:rsidDel="00000000" w:rsidP="00000000" w:rsidRDefault="00000000" w:rsidRPr="00000000" w14:paraId="00000026">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maintain all documentation in an appropriate filing system with regard to the examination cycle. </w:t>
      </w:r>
    </w:p>
    <w:p w:rsidR="00000000" w:rsidDel="00000000" w:rsidP="00000000" w:rsidRDefault="00000000" w:rsidRPr="00000000" w14:paraId="00000027">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deal with all enquiries regarding examinations from all stakeholders.</w:t>
      </w:r>
    </w:p>
    <w:p w:rsidR="00000000" w:rsidDel="00000000" w:rsidP="00000000" w:rsidRDefault="00000000" w:rsidRPr="00000000" w14:paraId="00000028">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the correct number of exam papers are provided and stored securely. </w:t>
      </w:r>
    </w:p>
    <w:p w:rsidR="00000000" w:rsidDel="00000000" w:rsidP="00000000" w:rsidRDefault="00000000" w:rsidRPr="00000000" w14:paraId="00000029">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order all exams stationary.</w:t>
      </w:r>
    </w:p>
    <w:p w:rsidR="00000000" w:rsidDel="00000000" w:rsidP="00000000" w:rsidRDefault="00000000" w:rsidRPr="00000000" w14:paraId="0000002A">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that there is a seating plan and invigilation documents for each exam scheduled.</w:t>
      </w:r>
    </w:p>
    <w:p w:rsidR="00000000" w:rsidDel="00000000" w:rsidP="00000000" w:rsidRDefault="00000000" w:rsidRPr="00000000" w14:paraId="0000002B">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Prepare examination papers ready for posting.</w:t>
      </w:r>
    </w:p>
    <w:p w:rsidR="00000000" w:rsidDel="00000000" w:rsidP="00000000" w:rsidRDefault="00000000" w:rsidRPr="00000000" w14:paraId="0000002C">
      <w:pPr>
        <w:numPr>
          <w:ilvl w:val="1"/>
          <w:numId w:val="1"/>
        </w:numPr>
        <w:spacing w:line="259"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and escort the JCQ inspector during his annual inspection visit. Report back to the Leadership Team on the outcome of his inspection. </w:t>
      </w:r>
    </w:p>
    <w:p w:rsidR="00000000" w:rsidDel="00000000" w:rsidP="00000000" w:rsidRDefault="00000000" w:rsidRPr="00000000" w14:paraId="0000002D">
      <w:pPr>
        <w:numPr>
          <w:ilvl w:val="0"/>
          <w:numId w:val="1"/>
        </w:numPr>
        <w:spacing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the Examinations Manager in organising the day to day running of KS4 examinations.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with the collat</w:t>
      </w:r>
      <w:r w:rsidDel="00000000" w:rsidR="00000000" w:rsidRPr="00000000">
        <w:rPr>
          <w:rFonts w:ascii="Arial" w:cs="Arial" w:eastAsia="Arial" w:hAnsi="Arial"/>
          <w:sz w:val="22"/>
          <w:szCs w:val="22"/>
          <w:rtl w:val="0"/>
        </w:rPr>
        <w:t xml:space="preserve">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examination entries from the </w:t>
      </w:r>
      <w:r w:rsidDel="00000000" w:rsidR="00000000" w:rsidRPr="00000000">
        <w:rPr>
          <w:rFonts w:ascii="Arial" w:cs="Arial" w:eastAsia="Arial" w:hAnsi="Arial"/>
          <w:sz w:val="22"/>
          <w:szCs w:val="22"/>
          <w:rtl w:val="0"/>
        </w:rPr>
        <w:t xml:space="preserve">Directors of Learning and liaise with the Examinations Manager before entering.</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the Examinations Manager in prepar</w:t>
      </w:r>
      <w:r w:rsidDel="00000000" w:rsidR="00000000" w:rsidRPr="00000000">
        <w:rPr>
          <w:rFonts w:ascii="Arial" w:cs="Arial" w:eastAsia="Arial" w:hAnsi="Arial"/>
          <w:sz w:val="22"/>
          <w:szCs w:val="22"/>
          <w:rtl w:val="0"/>
        </w:rPr>
        <w:t xml:space="preserv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internal and external exam entries and forecast grades.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up to date information including exam board timetables to all relevant academy staff.</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the Examinations Manager in obtaining, sorting and </w:t>
      </w:r>
      <w:r w:rsidDel="00000000" w:rsidR="00000000" w:rsidRPr="00000000">
        <w:rPr>
          <w:rFonts w:ascii="Arial" w:cs="Arial" w:eastAsia="Arial" w:hAnsi="Arial"/>
          <w:sz w:val="22"/>
          <w:szCs w:val="22"/>
          <w:rtl w:val="0"/>
        </w:rPr>
        <w:t xml:space="preserve">distributing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exam results to the pupils and staff.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the </w:t>
      </w:r>
      <w:r w:rsidDel="00000000" w:rsidR="00000000" w:rsidRPr="00000000">
        <w:rPr>
          <w:rFonts w:ascii="Arial" w:cs="Arial" w:eastAsia="Arial" w:hAnsi="Arial"/>
          <w:sz w:val="22"/>
          <w:szCs w:val="22"/>
          <w:rtl w:val="0"/>
        </w:rPr>
        <w:t xml:space="preserve">Examinations Manager in taking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receipt of payments for examination entries or re-marks.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collate information for the Examinations Manager regarding internal exams.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carry out typing when necessary for the Examinations Manager.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the </w:t>
      </w:r>
      <w:r w:rsidDel="00000000" w:rsidR="00000000" w:rsidRPr="00000000">
        <w:rPr>
          <w:rFonts w:ascii="Arial" w:cs="Arial" w:eastAsia="Arial" w:hAnsi="Arial"/>
          <w:sz w:val="22"/>
          <w:szCs w:val="22"/>
          <w:rtl w:val="0"/>
        </w:rPr>
        <w:t xml:space="preserve">Examinations Manager 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dealing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any pupil enquiries regarding results or exam entries.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report to the Examinations Manager any problems with processes and to suggest improvements.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Under the direction of the Examinations Manager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work in collaboration with the additional support faculty to organise the examination rooms needed for students with Access Arrangements.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collate and distribute Examination Certificates.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prepare any necessary equipment prior to each exam season.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Be present on the day the school is notified of results, to support the Examinations Manager in distributing results.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w:t>
      </w:r>
      <w:r w:rsidDel="00000000" w:rsidR="00000000" w:rsidRPr="00000000">
        <w:rPr>
          <w:rFonts w:ascii="Arial" w:cs="Arial" w:eastAsia="Arial" w:hAnsi="Arial"/>
          <w:smallCaps w:val="1"/>
          <w:color w:val="808080"/>
          <w:sz w:val="28"/>
          <w:szCs w:val="28"/>
          <w:rtl w:val="0"/>
        </w:rPr>
        <w:t xml:space="preserve">I</w:t>
      </w: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48">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EXAMINATIONS ASSISTANT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397" w:hRule="atLeast"/>
          <w:tblHeader w:val="0"/>
        </w:trPr>
        <w:tc>
          <w:tcPr>
            <w:shd w:fill="7030a0"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397" w:hRule="atLeast"/>
          <w:tblHeader w:val="0"/>
        </w:trPr>
        <w:tc>
          <w:tcPr/>
          <w:p w:rsidR="00000000" w:rsidDel="00000000" w:rsidP="00000000" w:rsidRDefault="00000000" w:rsidRPr="00000000" w14:paraId="0000006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 and literacy skills. </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NVQ 3 Business and Administration or equivalent qualification in a relevant discipline. </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administration function.</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Working knowledge of relevant policies/practices and external regulations. </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relate well to children and adults. </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 </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communication skills. </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influence others. </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organising, planning and prioritising skills. </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Methodical with a good attention to detail. </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F">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0A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1">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0" w:hRule="atLeast"/>
          <w:tblHeader w:val="0"/>
        </w:trPr>
        <w:tc>
          <w:tcPr>
            <w:gridSpan w:val="3"/>
            <w:shd w:fill="7030a0"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 </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A">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D">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 </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3">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6">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2" w:type="default"/>
      <w:footerReference r:id="rId13"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Examinations Assistant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Examinations Assistant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68" name="image7.png"/>
          <a:graphic>
            <a:graphicData uri="http://schemas.openxmlformats.org/drawingml/2006/picture">
              <pic:pic>
                <pic:nvPicPr>
                  <pic:cNvPr id="0" name="image7.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6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3fnkeoto6kcj/uGI0lyUBjqKQ==">CgMxLjAyCGguZ2pkZ3hzMghoLmdqZGd4czIIaC5namRneHMyCGguZ2pkZ3hzOAByITF0Tm9SeENvZ3djNFFuMHBmRUFHd3EwS2Nab0ZUSDdsZQ==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2023-02-08T14:57:00Z</dcterms:created>
  <dc:creator>Michael Mursell</dc:creator>
</cp:coreProperties>
</file>